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7" w:rsidRPr="00016017" w:rsidRDefault="00016017" w:rsidP="00016017">
      <w:pPr>
        <w:jc w:val="center"/>
        <w:rPr>
          <w:rFonts w:ascii="Palatino" w:hAnsi="Palatino"/>
          <w:b/>
        </w:rPr>
      </w:pPr>
      <w:bookmarkStart w:id="0" w:name="_GoBack"/>
      <w:r w:rsidRPr="00016017">
        <w:rPr>
          <w:rFonts w:ascii="Palatino" w:hAnsi="Palatino"/>
          <w:b/>
        </w:rPr>
        <w:t>Alberto Maffi</w:t>
      </w:r>
    </w:p>
    <w:p w:rsidR="00016017" w:rsidRDefault="00016017" w:rsidP="00016017">
      <w:pPr>
        <w:jc w:val="center"/>
        <w:rPr>
          <w:rFonts w:ascii="Palatino" w:hAnsi="Palatino"/>
        </w:rPr>
      </w:pPr>
    </w:p>
    <w:p w:rsidR="00016017" w:rsidRPr="00016017" w:rsidRDefault="00016017" w:rsidP="00016017">
      <w:pPr>
        <w:jc w:val="center"/>
        <w:rPr>
          <w:rFonts w:ascii="Palatino" w:hAnsi="Palatino"/>
          <w:b/>
          <w:color w:val="FF0000"/>
          <w:sz w:val="32"/>
          <w:szCs w:val="32"/>
        </w:rPr>
      </w:pPr>
      <w:proofErr w:type="spellStart"/>
      <w:r w:rsidRPr="00016017">
        <w:rPr>
          <w:rFonts w:ascii="Palatino" w:hAnsi="Palatino"/>
          <w:b/>
          <w:color w:val="FF0000"/>
          <w:sz w:val="32"/>
          <w:szCs w:val="32"/>
        </w:rPr>
        <w:t>Trasimaco</w:t>
      </w:r>
      <w:proofErr w:type="spellEnd"/>
      <w:r w:rsidRPr="00016017">
        <w:rPr>
          <w:rFonts w:ascii="Palatino" w:hAnsi="Palatino"/>
          <w:b/>
          <w:color w:val="FF0000"/>
          <w:sz w:val="32"/>
          <w:szCs w:val="32"/>
        </w:rPr>
        <w:t xml:space="preserve"> fra Platone e Aristotele</w:t>
      </w:r>
      <w:bookmarkEnd w:id="0"/>
    </w:p>
    <w:p w:rsidR="00016017" w:rsidRDefault="00016017" w:rsidP="00016017">
      <w:pPr>
        <w:jc w:val="both"/>
        <w:rPr>
          <w:rFonts w:ascii="Palatino" w:hAnsi="Palatino" w:cs="HelveticaNeueLT Std Lt Cn"/>
          <w:color w:val="221E1F"/>
        </w:rPr>
      </w:pPr>
    </w:p>
    <w:p w:rsidR="00016017" w:rsidRPr="00016017" w:rsidRDefault="00016017" w:rsidP="00016017">
      <w:pPr>
        <w:ind w:left="1134" w:right="1126"/>
        <w:jc w:val="both"/>
        <w:rPr>
          <w:rFonts w:ascii="Palatino" w:hAnsi="Palatino" w:cs="HelveticaNeueLT Std Lt Cn"/>
          <w:color w:val="221E1F"/>
          <w:sz w:val="20"/>
          <w:szCs w:val="20"/>
        </w:rPr>
      </w:pPr>
      <w:r w:rsidRPr="00016017">
        <w:rPr>
          <w:rFonts w:ascii="Palatino" w:hAnsi="Palatino" w:cs="HelveticaNeueLT Std Lt Cn"/>
          <w:b/>
          <w:color w:val="221E1F"/>
          <w:sz w:val="20"/>
          <w:szCs w:val="20"/>
        </w:rPr>
        <w:t>Alberto Maffi</w:t>
      </w:r>
      <w:r w:rsidRPr="00016017">
        <w:rPr>
          <w:rFonts w:ascii="Palatino" w:hAnsi="Palatino" w:cs="HelveticaNeueLT Std Lt Cn"/>
          <w:color w:val="221E1F"/>
          <w:sz w:val="20"/>
          <w:szCs w:val="20"/>
        </w:rPr>
        <w:t>, n</w:t>
      </w:r>
      <w:r w:rsidRPr="00016017">
        <w:rPr>
          <w:rFonts w:ascii="Palatino" w:hAnsi="Palatino" w:cs="HelveticaNeueLT Std Lt Cn"/>
          <w:color w:val="221E1F"/>
          <w:sz w:val="20"/>
          <w:szCs w:val="20"/>
        </w:rPr>
        <w:t xml:space="preserve">ato a Trento nel 1949, già docente di Diritto greco antico e Storia dei diritti dell’antichità presso la Facoltà di Lettere dell’Università di Trieste, dal 1994 al 2016 ha insegnato </w:t>
      </w:r>
      <w:proofErr w:type="gramStart"/>
      <w:r w:rsidRPr="00016017">
        <w:rPr>
          <w:rFonts w:ascii="Palatino" w:hAnsi="Palatino" w:cs="HelveticaNeueLT Std Lt Cn"/>
          <w:color w:val="221E1F"/>
          <w:sz w:val="20"/>
          <w:szCs w:val="20"/>
        </w:rPr>
        <w:t>Storia del diritto romano</w:t>
      </w:r>
      <w:proofErr w:type="gramEnd"/>
      <w:r w:rsidRPr="00016017">
        <w:rPr>
          <w:rFonts w:ascii="Palatino" w:hAnsi="Palatino" w:cs="HelveticaNeueLT Std Lt Cn"/>
          <w:color w:val="221E1F"/>
          <w:sz w:val="20"/>
          <w:szCs w:val="20"/>
        </w:rPr>
        <w:t xml:space="preserve"> dapprima nel secondo corso di laurea della Facoltà di Giurisprudenza dell’Università degli Studi di Milano, poi nella Facoltà di Giurisprudenza dell’Università di Milano-Bicocca, presso la quale ha in seguito insegnato Istituzioni di diritto romano e Diritto greco. Ha partecipato a tutti i convegni internazionali (</w:t>
      </w:r>
      <w:proofErr w:type="spellStart"/>
      <w:r w:rsidRPr="00016017">
        <w:rPr>
          <w:rFonts w:ascii="Palatino" w:hAnsi="Palatino" w:cs="HelveticaNeueLT Std Lt Cn"/>
          <w:i/>
          <w:color w:val="221E1F"/>
          <w:sz w:val="20"/>
          <w:szCs w:val="20"/>
        </w:rPr>
        <w:t>Symposia</w:t>
      </w:r>
      <w:proofErr w:type="spellEnd"/>
      <w:r w:rsidRPr="00016017">
        <w:rPr>
          <w:rFonts w:ascii="Palatino" w:hAnsi="Palatino" w:cs="HelveticaNeueLT Std Lt Cn"/>
          <w:color w:val="221E1F"/>
          <w:sz w:val="20"/>
          <w:szCs w:val="20"/>
        </w:rPr>
        <w:t>) di Storia del diritto greco ed ellenistico dal 1974 al 2017. È condirettore della rivista di storia del diritto greco “</w:t>
      </w:r>
      <w:r w:rsidRPr="00016017">
        <w:rPr>
          <w:rFonts w:ascii="Palatino" w:hAnsi="Palatino" w:cs="HelveticaNeueLT Std Lt Cn"/>
          <w:i/>
          <w:color w:val="221E1F"/>
          <w:sz w:val="20"/>
          <w:szCs w:val="20"/>
        </w:rPr>
        <w:t>DIKE</w:t>
      </w:r>
      <w:r w:rsidRPr="00016017">
        <w:rPr>
          <w:rFonts w:ascii="Palatino" w:hAnsi="Palatino" w:cs="HelveticaNeueLT Std Lt Cn"/>
          <w:color w:val="221E1F"/>
          <w:sz w:val="20"/>
          <w:szCs w:val="20"/>
        </w:rPr>
        <w:t>” e membro del Comitato di direzione della “</w:t>
      </w:r>
      <w:proofErr w:type="spellStart"/>
      <w:r w:rsidRPr="00016017">
        <w:rPr>
          <w:rFonts w:ascii="Palatino" w:hAnsi="Palatino" w:cs="HelveticaNeueLT Std Lt Cn"/>
          <w:i/>
          <w:color w:val="221E1F"/>
          <w:sz w:val="20"/>
          <w:szCs w:val="20"/>
        </w:rPr>
        <w:t>Révue</w:t>
      </w:r>
      <w:proofErr w:type="spellEnd"/>
      <w:r w:rsidRPr="00016017">
        <w:rPr>
          <w:rFonts w:ascii="Palatino" w:hAnsi="Palatino" w:cs="HelveticaNeueLT Std Lt Cn"/>
          <w:i/>
          <w:color w:val="221E1F"/>
          <w:sz w:val="20"/>
          <w:szCs w:val="20"/>
        </w:rPr>
        <w:t xml:space="preserve"> </w:t>
      </w:r>
      <w:proofErr w:type="gramStart"/>
      <w:r w:rsidRPr="00016017">
        <w:rPr>
          <w:rFonts w:ascii="Palatino" w:hAnsi="Palatino" w:cs="HelveticaNeueLT Std Lt Cn"/>
          <w:i/>
          <w:color w:val="221E1F"/>
          <w:sz w:val="20"/>
          <w:szCs w:val="20"/>
        </w:rPr>
        <w:t>d’</w:t>
      </w:r>
      <w:proofErr w:type="gramEnd"/>
      <w:r w:rsidRPr="00016017">
        <w:rPr>
          <w:rFonts w:ascii="Palatino" w:hAnsi="Palatino" w:cs="HelveticaNeueLT Std Lt Cn"/>
          <w:i/>
          <w:color w:val="221E1F"/>
          <w:sz w:val="20"/>
          <w:szCs w:val="20"/>
        </w:rPr>
        <w:t xml:space="preserve">Histoire </w:t>
      </w:r>
      <w:proofErr w:type="spellStart"/>
      <w:r w:rsidRPr="00016017">
        <w:rPr>
          <w:rFonts w:ascii="Palatino" w:hAnsi="Palatino" w:cs="HelveticaNeueLT Std Lt Cn"/>
          <w:i/>
          <w:color w:val="221E1F"/>
          <w:sz w:val="20"/>
          <w:szCs w:val="20"/>
        </w:rPr>
        <w:t>du</w:t>
      </w:r>
      <w:proofErr w:type="spellEnd"/>
      <w:r w:rsidRPr="00016017">
        <w:rPr>
          <w:rFonts w:ascii="Palatino" w:hAnsi="Palatino" w:cs="HelveticaNeueLT Std Lt Cn"/>
          <w:i/>
          <w:color w:val="221E1F"/>
          <w:sz w:val="20"/>
          <w:szCs w:val="20"/>
        </w:rPr>
        <w:t xml:space="preserve"> </w:t>
      </w:r>
      <w:proofErr w:type="spellStart"/>
      <w:r w:rsidRPr="00016017">
        <w:rPr>
          <w:rFonts w:ascii="Palatino" w:hAnsi="Palatino" w:cs="HelveticaNeueLT Std Lt Cn"/>
          <w:i/>
          <w:color w:val="221E1F"/>
          <w:sz w:val="20"/>
          <w:szCs w:val="20"/>
        </w:rPr>
        <w:t>droit</w:t>
      </w:r>
      <w:proofErr w:type="spellEnd"/>
      <w:r w:rsidRPr="00016017">
        <w:rPr>
          <w:rFonts w:ascii="Palatino" w:hAnsi="Palatino" w:cs="HelveticaNeueLT Std Lt Cn"/>
          <w:i/>
          <w:color w:val="221E1F"/>
          <w:sz w:val="20"/>
          <w:szCs w:val="20"/>
        </w:rPr>
        <w:t xml:space="preserve"> </w:t>
      </w:r>
      <w:proofErr w:type="spellStart"/>
      <w:r w:rsidRPr="00016017">
        <w:rPr>
          <w:rFonts w:ascii="Palatino" w:hAnsi="Palatino" w:cs="HelveticaNeueLT Std Lt Cn"/>
          <w:i/>
          <w:color w:val="221E1F"/>
          <w:sz w:val="20"/>
          <w:szCs w:val="20"/>
        </w:rPr>
        <w:t>français</w:t>
      </w:r>
      <w:proofErr w:type="spellEnd"/>
      <w:r w:rsidRPr="00016017">
        <w:rPr>
          <w:rFonts w:ascii="Palatino" w:hAnsi="Palatino" w:cs="HelveticaNeueLT Std Lt Cn"/>
          <w:i/>
          <w:color w:val="221E1F"/>
          <w:sz w:val="20"/>
          <w:szCs w:val="20"/>
        </w:rPr>
        <w:t xml:space="preserve"> et </w:t>
      </w:r>
      <w:proofErr w:type="spellStart"/>
      <w:r w:rsidRPr="00016017">
        <w:rPr>
          <w:rFonts w:ascii="Palatino" w:hAnsi="Palatino" w:cs="HelveticaNeueLT Std Lt Cn"/>
          <w:i/>
          <w:color w:val="221E1F"/>
          <w:sz w:val="20"/>
          <w:szCs w:val="20"/>
        </w:rPr>
        <w:t>étranger</w:t>
      </w:r>
      <w:proofErr w:type="spellEnd"/>
      <w:r w:rsidRPr="00016017">
        <w:rPr>
          <w:rFonts w:ascii="Palatino" w:hAnsi="Palatino" w:cs="HelveticaNeueLT Std Lt Cn"/>
          <w:color w:val="221E1F"/>
          <w:sz w:val="20"/>
          <w:szCs w:val="20"/>
        </w:rPr>
        <w:t xml:space="preserve">”. È membro del </w:t>
      </w:r>
      <w:proofErr w:type="spellStart"/>
      <w:r w:rsidRPr="00016017">
        <w:rPr>
          <w:rFonts w:ascii="Palatino" w:hAnsi="Palatino" w:cs="HelveticaNeueLT Std Lt Cn"/>
          <w:i/>
          <w:color w:val="221E1F"/>
          <w:sz w:val="20"/>
          <w:szCs w:val="20"/>
        </w:rPr>
        <w:t>Collegium</w:t>
      </w:r>
      <w:proofErr w:type="spellEnd"/>
      <w:r w:rsidRPr="00016017">
        <w:rPr>
          <w:rFonts w:ascii="Palatino" w:hAnsi="Palatino" w:cs="HelveticaNeueLT Std Lt Cn"/>
          <w:i/>
          <w:color w:val="221E1F"/>
          <w:sz w:val="20"/>
          <w:szCs w:val="20"/>
        </w:rPr>
        <w:t xml:space="preserve"> </w:t>
      </w:r>
      <w:proofErr w:type="spellStart"/>
      <w:r w:rsidRPr="00016017">
        <w:rPr>
          <w:rFonts w:ascii="Palatino" w:hAnsi="Palatino" w:cs="HelveticaNeueLT Std Lt Cn"/>
          <w:i/>
          <w:color w:val="221E1F"/>
          <w:sz w:val="20"/>
          <w:szCs w:val="20"/>
        </w:rPr>
        <w:t>Politicum</w:t>
      </w:r>
      <w:proofErr w:type="spellEnd"/>
      <w:r w:rsidRPr="00016017">
        <w:rPr>
          <w:rFonts w:ascii="Palatino" w:hAnsi="Palatino" w:cs="HelveticaNeueLT Std Lt Cn"/>
          <w:color w:val="221E1F"/>
          <w:sz w:val="20"/>
          <w:szCs w:val="20"/>
        </w:rPr>
        <w:t>. Ha tenuto corsi presso l’</w:t>
      </w:r>
      <w:proofErr w:type="spellStart"/>
      <w:r w:rsidRPr="00016017">
        <w:rPr>
          <w:rFonts w:ascii="Palatino" w:hAnsi="Palatino" w:cs="HelveticaNeueLT Std Lt Cn"/>
          <w:color w:val="221E1F"/>
          <w:sz w:val="20"/>
          <w:szCs w:val="20"/>
        </w:rPr>
        <w:t>Ecole</w:t>
      </w:r>
      <w:proofErr w:type="spellEnd"/>
      <w:r w:rsidRPr="00016017">
        <w:rPr>
          <w:rFonts w:ascii="Palatino" w:hAnsi="Palatino" w:cs="HelveticaNeueLT Std Lt Cn"/>
          <w:color w:val="221E1F"/>
          <w:sz w:val="20"/>
          <w:szCs w:val="20"/>
        </w:rPr>
        <w:t xml:space="preserve"> de </w:t>
      </w:r>
      <w:proofErr w:type="spellStart"/>
      <w:r w:rsidRPr="00016017">
        <w:rPr>
          <w:rFonts w:ascii="Palatino" w:hAnsi="Palatino" w:cs="HelveticaNeueLT Std Lt Cn"/>
          <w:color w:val="221E1F"/>
          <w:sz w:val="20"/>
          <w:szCs w:val="20"/>
        </w:rPr>
        <w:t>Hautes</w:t>
      </w:r>
      <w:proofErr w:type="spellEnd"/>
      <w:r w:rsidRPr="00016017">
        <w:rPr>
          <w:rFonts w:ascii="Palatino" w:hAnsi="Palatino" w:cs="HelveticaNeueLT Std Lt Cn"/>
          <w:color w:val="221E1F"/>
          <w:sz w:val="20"/>
          <w:szCs w:val="20"/>
        </w:rPr>
        <w:t xml:space="preserve"> </w:t>
      </w:r>
      <w:proofErr w:type="spellStart"/>
      <w:r w:rsidRPr="00016017">
        <w:rPr>
          <w:rFonts w:ascii="Palatino" w:hAnsi="Palatino" w:cs="HelveticaNeueLT Std Lt Cn"/>
          <w:color w:val="221E1F"/>
          <w:sz w:val="20"/>
          <w:szCs w:val="20"/>
        </w:rPr>
        <w:t>Etudes</w:t>
      </w:r>
      <w:proofErr w:type="spellEnd"/>
      <w:r w:rsidRPr="00016017">
        <w:rPr>
          <w:rFonts w:ascii="Palatino" w:hAnsi="Palatino" w:cs="HelveticaNeueLT Std Lt Cn"/>
          <w:color w:val="221E1F"/>
          <w:sz w:val="20"/>
          <w:szCs w:val="20"/>
        </w:rPr>
        <w:t xml:space="preserve"> di Parigi, la </w:t>
      </w:r>
      <w:proofErr w:type="spellStart"/>
      <w:r w:rsidRPr="00016017">
        <w:rPr>
          <w:rFonts w:ascii="Palatino" w:hAnsi="Palatino" w:cs="HelveticaNeueLT Std Lt Cn"/>
          <w:color w:val="221E1F"/>
          <w:sz w:val="20"/>
          <w:szCs w:val="20"/>
        </w:rPr>
        <w:t>Sorbonne</w:t>
      </w:r>
      <w:proofErr w:type="spellEnd"/>
      <w:r w:rsidRPr="00016017">
        <w:rPr>
          <w:rFonts w:ascii="Palatino" w:hAnsi="Palatino" w:cs="HelveticaNeueLT Std Lt Cn"/>
          <w:color w:val="221E1F"/>
          <w:sz w:val="20"/>
          <w:szCs w:val="20"/>
        </w:rPr>
        <w:t xml:space="preserve"> e presso l’Università di Shangai. È autore di: </w:t>
      </w:r>
      <w:r w:rsidRPr="00016017">
        <w:rPr>
          <w:rFonts w:ascii="Palatino" w:hAnsi="Palatino" w:cs="HelveticaNeueLT Std Lt Cn"/>
          <w:i/>
          <w:color w:val="221E1F"/>
          <w:sz w:val="20"/>
          <w:szCs w:val="20"/>
        </w:rPr>
        <w:t>Studi di epigrafia giuridica greca</w:t>
      </w:r>
      <w:r w:rsidRPr="00016017">
        <w:rPr>
          <w:rFonts w:ascii="Palatino" w:hAnsi="Palatino" w:cs="HelveticaNeueLT Std Lt Cn"/>
          <w:color w:val="221E1F"/>
          <w:sz w:val="20"/>
          <w:szCs w:val="20"/>
        </w:rPr>
        <w:t xml:space="preserve">, Milano 1983; </w:t>
      </w:r>
      <w:r w:rsidRPr="00016017">
        <w:rPr>
          <w:rFonts w:ascii="Palatino" w:hAnsi="Palatino" w:cs="HelveticaNeueLT Std Lt Cn"/>
          <w:i/>
          <w:color w:val="221E1F"/>
          <w:sz w:val="20"/>
          <w:szCs w:val="20"/>
        </w:rPr>
        <w:t xml:space="preserve">L’iscrizione di </w:t>
      </w:r>
      <w:proofErr w:type="spellStart"/>
      <w:r w:rsidRPr="00016017">
        <w:rPr>
          <w:rFonts w:ascii="Palatino" w:hAnsi="Palatino" w:cs="HelveticaNeueLT Std Lt Cn"/>
          <w:i/>
          <w:color w:val="221E1F"/>
          <w:sz w:val="20"/>
          <w:szCs w:val="20"/>
        </w:rPr>
        <w:t>Ligdamis</w:t>
      </w:r>
      <w:proofErr w:type="spellEnd"/>
      <w:r w:rsidRPr="00016017">
        <w:rPr>
          <w:rFonts w:ascii="Palatino" w:hAnsi="Palatino" w:cs="HelveticaNeueLT Std Lt Cn"/>
          <w:color w:val="221E1F"/>
          <w:sz w:val="20"/>
          <w:szCs w:val="20"/>
        </w:rPr>
        <w:t xml:space="preserve">, Trieste 1988; </w:t>
      </w:r>
      <w:r w:rsidRPr="00016017">
        <w:rPr>
          <w:rFonts w:ascii="Palatino" w:hAnsi="Palatino" w:cs="HelveticaNeueLT Std Lt Cn"/>
          <w:i/>
          <w:color w:val="221E1F"/>
          <w:sz w:val="20"/>
          <w:szCs w:val="20"/>
        </w:rPr>
        <w:t xml:space="preserve">Ricerche sul </w:t>
      </w:r>
      <w:proofErr w:type="spellStart"/>
      <w:r w:rsidRPr="00016017">
        <w:rPr>
          <w:rFonts w:ascii="Palatino" w:hAnsi="Palatino" w:cs="HelveticaNeueLT Std Lt Cn"/>
          <w:i/>
          <w:color w:val="221E1F"/>
          <w:sz w:val="20"/>
          <w:szCs w:val="20"/>
        </w:rPr>
        <w:t>postliminium</w:t>
      </w:r>
      <w:proofErr w:type="spellEnd"/>
      <w:r w:rsidRPr="00016017">
        <w:rPr>
          <w:rFonts w:ascii="Palatino" w:hAnsi="Palatino" w:cs="HelveticaNeueLT Std Lt Cn"/>
          <w:color w:val="221E1F"/>
          <w:sz w:val="20"/>
          <w:szCs w:val="20"/>
        </w:rPr>
        <w:t xml:space="preserve">, Milano 1992; </w:t>
      </w:r>
      <w:r w:rsidRPr="00016017">
        <w:rPr>
          <w:rFonts w:ascii="Palatino" w:hAnsi="Palatino" w:cs="HelveticaNeueLT Std Lt Cn"/>
          <w:i/>
          <w:color w:val="221E1F"/>
          <w:sz w:val="20"/>
          <w:szCs w:val="20"/>
        </w:rPr>
        <w:t xml:space="preserve">Il diritto di famiglia nel Codice di </w:t>
      </w:r>
      <w:proofErr w:type="spellStart"/>
      <w:r w:rsidRPr="00016017">
        <w:rPr>
          <w:rFonts w:ascii="Palatino" w:hAnsi="Palatino" w:cs="HelveticaNeueLT Std Lt Cn"/>
          <w:i/>
          <w:color w:val="221E1F"/>
          <w:sz w:val="20"/>
          <w:szCs w:val="20"/>
        </w:rPr>
        <w:t>Gortina</w:t>
      </w:r>
      <w:proofErr w:type="spellEnd"/>
      <w:r w:rsidRPr="00016017">
        <w:rPr>
          <w:rFonts w:ascii="Palatino" w:hAnsi="Palatino" w:cs="HelveticaNeueLT Std Lt Cn"/>
          <w:color w:val="221E1F"/>
          <w:sz w:val="20"/>
          <w:szCs w:val="20"/>
        </w:rPr>
        <w:t>, Milano 1998.</w:t>
      </w:r>
    </w:p>
    <w:p w:rsidR="00016017" w:rsidRPr="00016017" w:rsidRDefault="00016017" w:rsidP="00016017">
      <w:pPr>
        <w:jc w:val="both"/>
        <w:rPr>
          <w:rFonts w:ascii="Palatino" w:hAnsi="Palatino" w:cs="HelveticaNeueLT Std Lt Cn"/>
          <w:color w:val="221E1F"/>
        </w:rPr>
      </w:pPr>
    </w:p>
    <w:p w:rsidR="00016017" w:rsidRPr="00016017" w:rsidRDefault="00016017" w:rsidP="00016017">
      <w:pPr>
        <w:pStyle w:val="Pa20"/>
        <w:jc w:val="both"/>
        <w:rPr>
          <w:rFonts w:ascii="Palatino" w:hAnsi="Palatino" w:cs="HelveticaNeueLT Std Lt"/>
          <w:color w:val="221E1F"/>
        </w:rPr>
      </w:pPr>
      <w:r w:rsidRPr="00016017">
        <w:rPr>
          <w:rStyle w:val="A5"/>
          <w:rFonts w:ascii="Palatino" w:hAnsi="Palatino"/>
          <w:sz w:val="24"/>
          <w:szCs w:val="24"/>
        </w:rPr>
        <w:t xml:space="preserve">L’acceso confronto fra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e Socrate nel I libro della Repubblica ha destato in più di un’occasione l’interesse di Mario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w:t>
      </w:r>
      <w:r w:rsidRPr="00016017">
        <w:rPr>
          <w:rStyle w:val="Rimandonotaapidipagina"/>
          <w:rFonts w:ascii="Palatino" w:hAnsi="Palatino" w:cs="HelveticaNeueLT Std Lt"/>
          <w:color w:val="221E1F"/>
        </w:rPr>
        <w:footnoteReference w:id="1"/>
      </w:r>
      <w:r w:rsidRPr="00016017">
        <w:rPr>
          <w:rStyle w:val="A5"/>
          <w:rFonts w:ascii="Palatino" w:hAnsi="Palatino"/>
          <w:sz w:val="24"/>
          <w:szCs w:val="24"/>
        </w:rPr>
        <w:t xml:space="preserve"> Vorrei qui ripartire in particolare dall’importante commento che egli ha dedicato alla figura dell’inquietante sofista nel Commento al I libro da lui curato nel 1998.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ritiene che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esponga due tesi distinte. La prima, contrassegnata dalla sigla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riduce </w:t>
      </w:r>
      <w:r w:rsidRPr="00016017">
        <w:rPr>
          <w:rStyle w:val="A5"/>
          <w:rFonts w:ascii="Palatino" w:hAnsi="Palatino"/>
          <w:i/>
          <w:iCs/>
          <w:sz w:val="24"/>
          <w:szCs w:val="24"/>
        </w:rPr>
        <w:t xml:space="preserve">to </w:t>
      </w:r>
      <w:proofErr w:type="spellStart"/>
      <w:r w:rsidRPr="00016017">
        <w:rPr>
          <w:rStyle w:val="A5"/>
          <w:rFonts w:ascii="Palatino" w:hAnsi="Palatino"/>
          <w:i/>
          <w:iCs/>
          <w:sz w:val="24"/>
          <w:szCs w:val="24"/>
        </w:rPr>
        <w:t>dikaion</w:t>
      </w:r>
      <w:proofErr w:type="spellEnd"/>
      <w:proofErr w:type="gramStart"/>
      <w:r w:rsidRPr="00016017">
        <w:rPr>
          <w:rStyle w:val="Rimandonotaapidipagina"/>
          <w:rFonts w:ascii="Palatino" w:hAnsi="Palatino" w:cs="HelveticaNeueLT Std Lt"/>
          <w:iCs/>
          <w:color w:val="221E1F"/>
        </w:rPr>
        <w:footnoteReference w:id="2"/>
      </w:r>
      <w:r w:rsidRPr="00016017">
        <w:rPr>
          <w:rStyle w:val="A5"/>
          <w:rFonts w:ascii="Palatino" w:hAnsi="Palatino"/>
          <w:i/>
          <w:iCs/>
          <w:sz w:val="24"/>
          <w:szCs w:val="24"/>
        </w:rPr>
        <w:t xml:space="preserve"> </w:t>
      </w:r>
      <w:proofErr w:type="gramEnd"/>
      <w:r w:rsidRPr="00016017">
        <w:rPr>
          <w:rStyle w:val="A5"/>
          <w:rFonts w:ascii="Palatino" w:hAnsi="Palatino"/>
          <w:sz w:val="24"/>
          <w:szCs w:val="24"/>
        </w:rPr>
        <w:t xml:space="preserve">all’utile del più forte (338 c). Nella seconda, identificata con la sigla </w:t>
      </w:r>
      <w:proofErr w:type="spellStart"/>
      <w:r w:rsidRPr="00016017">
        <w:rPr>
          <w:rStyle w:val="A5"/>
          <w:rFonts w:ascii="Palatino" w:hAnsi="Palatino"/>
          <w:i/>
          <w:iCs/>
          <w:sz w:val="24"/>
          <w:szCs w:val="24"/>
        </w:rPr>
        <w:t>Tb</w:t>
      </w:r>
      <w:proofErr w:type="spellEnd"/>
      <w:r w:rsidRPr="00016017">
        <w:rPr>
          <w:rStyle w:val="A5"/>
          <w:rFonts w:ascii="Palatino" w:hAnsi="Palatino"/>
          <w:sz w:val="24"/>
          <w:szCs w:val="24"/>
        </w:rPr>
        <w:t xml:space="preserv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sostiene che </w:t>
      </w:r>
      <w:proofErr w:type="spellStart"/>
      <w:r w:rsidRPr="00016017">
        <w:rPr>
          <w:rStyle w:val="A5"/>
          <w:rFonts w:ascii="Palatino" w:hAnsi="Palatino"/>
          <w:i/>
          <w:iCs/>
          <w:sz w:val="24"/>
          <w:szCs w:val="24"/>
        </w:rPr>
        <w:t>dikaiosyne</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e </w:t>
      </w:r>
      <w:proofErr w:type="spellStart"/>
      <w:r w:rsidRPr="00016017">
        <w:rPr>
          <w:rStyle w:val="A5"/>
          <w:rFonts w:ascii="Palatino" w:hAnsi="Palatino"/>
          <w:i/>
          <w:iCs/>
          <w:sz w:val="24"/>
          <w:szCs w:val="24"/>
        </w:rPr>
        <w:t>dikaion</w:t>
      </w:r>
      <w:proofErr w:type="spellEnd"/>
      <w:r w:rsidRPr="00016017">
        <w:rPr>
          <w:rStyle w:val="A5"/>
          <w:rFonts w:ascii="Palatino" w:hAnsi="Palatino"/>
          <w:i/>
          <w:iCs/>
          <w:sz w:val="24"/>
          <w:szCs w:val="24"/>
        </w:rPr>
        <w:t xml:space="preserve"> </w:t>
      </w:r>
      <w:proofErr w:type="gramStart"/>
      <w:r w:rsidRPr="00016017">
        <w:rPr>
          <w:rStyle w:val="A5"/>
          <w:rFonts w:ascii="Palatino" w:hAnsi="Palatino"/>
          <w:sz w:val="24"/>
          <w:szCs w:val="24"/>
        </w:rPr>
        <w:t>sono</w:t>
      </w:r>
      <w:proofErr w:type="gramEnd"/>
      <w:r w:rsidRPr="00016017">
        <w:rPr>
          <w:rStyle w:val="A5"/>
          <w:rFonts w:ascii="Palatino" w:hAnsi="Palatino"/>
          <w:sz w:val="24"/>
          <w:szCs w:val="24"/>
        </w:rPr>
        <w:t xml:space="preserve"> essenzialmente “un vantaggio per altri” (</w:t>
      </w:r>
      <w:proofErr w:type="spellStart"/>
      <w:r w:rsidRPr="00016017">
        <w:rPr>
          <w:rStyle w:val="A5"/>
          <w:rFonts w:ascii="Palatino" w:hAnsi="Palatino"/>
          <w:i/>
          <w:iCs/>
          <w:sz w:val="24"/>
          <w:szCs w:val="24"/>
        </w:rPr>
        <w:t>allotrion</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agathon</w:t>
      </w:r>
      <w:proofErr w:type="spellEnd"/>
      <w:r w:rsidRPr="00016017">
        <w:rPr>
          <w:rStyle w:val="A5"/>
          <w:rFonts w:ascii="Palatino" w:hAnsi="Palatino"/>
          <w:sz w:val="24"/>
          <w:szCs w:val="24"/>
        </w:rPr>
        <w:t>), ribadendo che si tratta dell’utile di chi è più forte e (quindi) comanda, mentre si traducono in un danno (</w:t>
      </w:r>
      <w:proofErr w:type="spellStart"/>
      <w:r w:rsidRPr="00016017">
        <w:rPr>
          <w:rStyle w:val="A5"/>
          <w:rFonts w:ascii="Palatino" w:hAnsi="Palatino"/>
          <w:i/>
          <w:iCs/>
          <w:sz w:val="24"/>
          <w:szCs w:val="24"/>
        </w:rPr>
        <w:t>blabe</w:t>
      </w:r>
      <w:proofErr w:type="spellEnd"/>
      <w:r w:rsidRPr="00016017">
        <w:rPr>
          <w:rStyle w:val="A5"/>
          <w:rFonts w:ascii="Palatino" w:hAnsi="Palatino"/>
          <w:sz w:val="24"/>
          <w:szCs w:val="24"/>
        </w:rPr>
        <w:t>) per chi obbedisce e serve. Di conseguenza l’ingiustizia (</w:t>
      </w:r>
      <w:proofErr w:type="spellStart"/>
      <w:r w:rsidRPr="00016017">
        <w:rPr>
          <w:rStyle w:val="A5"/>
          <w:rFonts w:ascii="Palatino" w:hAnsi="Palatino"/>
          <w:i/>
          <w:iCs/>
          <w:sz w:val="24"/>
          <w:szCs w:val="24"/>
        </w:rPr>
        <w:t>adikia</w:t>
      </w:r>
      <w:proofErr w:type="spellEnd"/>
      <w:r w:rsidRPr="00016017">
        <w:rPr>
          <w:rStyle w:val="A5"/>
          <w:rFonts w:ascii="Palatino" w:hAnsi="Palatino"/>
          <w:sz w:val="24"/>
          <w:szCs w:val="24"/>
        </w:rPr>
        <w:t xml:space="preserve">) è propria di chi comanda a uomini che sono realmente ingenui e giusti, tanto che essi </w:t>
      </w:r>
      <w:proofErr w:type="gramStart"/>
      <w:r w:rsidRPr="00016017">
        <w:rPr>
          <w:rStyle w:val="A5"/>
          <w:rFonts w:ascii="Palatino" w:hAnsi="Palatino"/>
          <w:sz w:val="24"/>
          <w:szCs w:val="24"/>
        </w:rPr>
        <w:t>realizzano</w:t>
      </w:r>
      <w:proofErr w:type="gramEnd"/>
      <w:r w:rsidRPr="00016017">
        <w:rPr>
          <w:rStyle w:val="A5"/>
          <w:rFonts w:ascii="Palatino" w:hAnsi="Palatino"/>
          <w:sz w:val="24"/>
          <w:szCs w:val="24"/>
        </w:rPr>
        <w:t xml:space="preserve"> ciò che risulta vantaggioso per colui che è più forte e, ponendosi al suo servizio, lo rendono felice, ciò che non si può dire di loro stessi (343 b ss.). </w:t>
      </w:r>
    </w:p>
    <w:p w:rsidR="00016017" w:rsidRPr="00016017" w:rsidRDefault="00016017" w:rsidP="00016017">
      <w:pPr>
        <w:pStyle w:val="Pa20"/>
        <w:jc w:val="both"/>
        <w:rPr>
          <w:rFonts w:ascii="Palatino" w:hAnsi="Palatino" w:cs="HelveticaNeueLT Std Lt"/>
          <w:color w:val="221E1F"/>
        </w:rPr>
      </w:pPr>
      <w:proofErr w:type="gramStart"/>
      <w:r w:rsidRPr="00016017">
        <w:rPr>
          <w:rStyle w:val="A5"/>
          <w:rFonts w:ascii="Palatino" w:hAnsi="Palatino"/>
          <w:sz w:val="24"/>
          <w:szCs w:val="24"/>
        </w:rPr>
        <w:t>La</w:t>
      </w:r>
      <w:proofErr w:type="gramEnd"/>
      <w:r w:rsidRPr="00016017">
        <w:rPr>
          <w:rStyle w:val="A5"/>
          <w:rFonts w:ascii="Palatino" w:hAnsi="Palatino"/>
          <w:sz w:val="24"/>
          <w:szCs w:val="24"/>
        </w:rPr>
        <w:t xml:space="preserve"> tesi </w:t>
      </w:r>
      <w:proofErr w:type="spellStart"/>
      <w:r w:rsidRPr="00016017">
        <w:rPr>
          <w:rStyle w:val="A5"/>
          <w:rFonts w:ascii="Palatino" w:hAnsi="Palatino"/>
          <w:i/>
          <w:iCs/>
          <w:sz w:val="24"/>
          <w:szCs w:val="24"/>
        </w:rPr>
        <w:t>Ta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viene sviluppata da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attraverso ulteriori passaggi. Innanzi tutto occorre tenere presente che esistono tre regimi politici principali: la tirannide, la democrazia e l’oligarchia (che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chiama aristocrazia) (338 d). In ognuno di tali regimi c’è un elemento dominante, definito appunto </w:t>
      </w:r>
      <w:r w:rsidRPr="00016017">
        <w:rPr>
          <w:rStyle w:val="A5"/>
          <w:rFonts w:ascii="Palatino" w:hAnsi="Palatino"/>
          <w:i/>
          <w:iCs/>
          <w:sz w:val="24"/>
          <w:szCs w:val="24"/>
        </w:rPr>
        <w:t xml:space="preserve">to </w:t>
      </w:r>
      <w:proofErr w:type="spellStart"/>
      <w:r w:rsidRPr="00016017">
        <w:rPr>
          <w:rStyle w:val="A5"/>
          <w:rFonts w:ascii="Palatino" w:hAnsi="Palatino"/>
          <w:i/>
          <w:iCs/>
          <w:sz w:val="24"/>
          <w:szCs w:val="24"/>
        </w:rPr>
        <w:t>archon</w:t>
      </w:r>
      <w:proofErr w:type="spellEnd"/>
      <w:r w:rsidRPr="00016017">
        <w:rPr>
          <w:rStyle w:val="A5"/>
          <w:rFonts w:ascii="Palatino" w:hAnsi="Palatino"/>
          <w:sz w:val="24"/>
          <w:szCs w:val="24"/>
        </w:rPr>
        <w:t xml:space="preserve">. </w:t>
      </w:r>
      <w:proofErr w:type="gramStart"/>
      <w:r w:rsidRPr="00016017">
        <w:rPr>
          <w:rStyle w:val="A5"/>
          <w:rFonts w:ascii="Palatino" w:hAnsi="Palatino"/>
          <w:sz w:val="24"/>
          <w:szCs w:val="24"/>
        </w:rPr>
        <w:t>È</w:t>
      </w:r>
      <w:proofErr w:type="gramEnd"/>
      <w:r w:rsidRPr="00016017">
        <w:rPr>
          <w:rStyle w:val="A5"/>
          <w:rFonts w:ascii="Palatino" w:hAnsi="Palatino"/>
          <w:sz w:val="24"/>
          <w:szCs w:val="24"/>
        </w:rPr>
        <w:t xml:space="preserve"> attraverso le leggi che ciascuno di questi regimi rende noto agli </w:t>
      </w:r>
      <w:proofErr w:type="spellStart"/>
      <w:r w:rsidRPr="00016017">
        <w:rPr>
          <w:rStyle w:val="A5"/>
          <w:rFonts w:ascii="Palatino" w:hAnsi="Palatino"/>
          <w:i/>
          <w:iCs/>
          <w:sz w:val="24"/>
          <w:szCs w:val="24"/>
        </w:rPr>
        <w:t>archomenoi</w:t>
      </w:r>
      <w:proofErr w:type="spellEnd"/>
      <w:r w:rsidRPr="00016017">
        <w:rPr>
          <w:rStyle w:val="Rimandonotaapidipagina"/>
          <w:rFonts w:ascii="Palatino" w:hAnsi="Palatino" w:cs="HelveticaNeueLT Std Lt"/>
          <w:iCs/>
          <w:color w:val="221E1F"/>
        </w:rPr>
        <w:footnoteReference w:id="3"/>
      </w:r>
      <w:r w:rsidRPr="00016017">
        <w:rPr>
          <w:rStyle w:val="A5"/>
          <w:rFonts w:ascii="Palatino" w:hAnsi="Palatino"/>
          <w:i/>
          <w:iCs/>
          <w:sz w:val="24"/>
          <w:szCs w:val="24"/>
        </w:rPr>
        <w:t xml:space="preserve"> </w:t>
      </w:r>
      <w:r w:rsidRPr="00016017">
        <w:rPr>
          <w:rStyle w:val="A5"/>
          <w:rFonts w:ascii="Palatino" w:hAnsi="Palatino"/>
          <w:sz w:val="24"/>
          <w:szCs w:val="24"/>
        </w:rPr>
        <w:t xml:space="preserve">che cosa devono considerare giusto, e che coincide con l’utile dei governanti: coloro che non si adeguano saranno puniti come persone che violano la legge e commettono un illecito (338 e). Il giusto è dunque ciò che è vantaggioso per </w:t>
      </w:r>
      <w:proofErr w:type="spellStart"/>
      <w:proofErr w:type="gramStart"/>
      <w:r w:rsidRPr="00016017">
        <w:rPr>
          <w:rStyle w:val="A5"/>
          <w:rFonts w:ascii="Palatino" w:hAnsi="Palatino"/>
          <w:sz w:val="24"/>
          <w:szCs w:val="24"/>
        </w:rPr>
        <w:t>l’</w:t>
      </w:r>
      <w:proofErr w:type="gramEnd"/>
      <w:r w:rsidRPr="00016017">
        <w:rPr>
          <w:rStyle w:val="A5"/>
          <w:rFonts w:ascii="Palatino" w:hAnsi="Palatino"/>
          <w:i/>
          <w:iCs/>
          <w:sz w:val="24"/>
          <w:szCs w:val="24"/>
        </w:rPr>
        <w:t>arche</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costituita che ha il potere. Per questo il giusto è in ogni regime ciò che avvantaggia chi esercita il potere. </w:t>
      </w:r>
    </w:p>
    <w:p w:rsidR="00016017" w:rsidRPr="00016017" w:rsidRDefault="00016017" w:rsidP="00016017">
      <w:pPr>
        <w:pStyle w:val="Pa20"/>
        <w:jc w:val="both"/>
        <w:rPr>
          <w:rFonts w:ascii="Palatino" w:hAnsi="Palatino" w:cs="HelveticaNeueLT Std Lt"/>
          <w:color w:val="221E1F"/>
        </w:rPr>
      </w:pP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sostiene che </w:t>
      </w:r>
      <w:proofErr w:type="gramStart"/>
      <w:r w:rsidRPr="00016017">
        <w:rPr>
          <w:rStyle w:val="A5"/>
          <w:rFonts w:ascii="Palatino" w:hAnsi="Palatino"/>
          <w:sz w:val="24"/>
          <w:szCs w:val="24"/>
        </w:rPr>
        <w:t>la</w:t>
      </w:r>
      <w:proofErr w:type="gramEnd"/>
      <w:r w:rsidRPr="00016017">
        <w:rPr>
          <w:rStyle w:val="A5"/>
          <w:rFonts w:ascii="Palatino" w:hAnsi="Palatino"/>
          <w:sz w:val="24"/>
          <w:szCs w:val="24"/>
        </w:rPr>
        <w:t xml:space="preserve"> tesi </w:t>
      </w:r>
      <w:proofErr w:type="spellStart"/>
      <w:r w:rsidRPr="00016017">
        <w:rPr>
          <w:rStyle w:val="A5"/>
          <w:rFonts w:ascii="Palatino" w:hAnsi="Palatino"/>
          <w:i/>
          <w:iCs/>
          <w:sz w:val="24"/>
          <w:szCs w:val="24"/>
        </w:rPr>
        <w:t>Tb</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non può derivare logicamente dalla tesi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perché in base a quest’ultima il potere è eticamente neutro, né giusto né ingiusto, mentre in base a </w:t>
      </w:r>
      <w:proofErr w:type="spellStart"/>
      <w:r w:rsidRPr="00016017">
        <w:rPr>
          <w:rStyle w:val="A5"/>
          <w:rFonts w:ascii="Palatino" w:hAnsi="Palatino"/>
          <w:sz w:val="24"/>
          <w:szCs w:val="24"/>
        </w:rPr>
        <w:t>Tb</w:t>
      </w:r>
      <w:proofErr w:type="spellEnd"/>
      <w:r w:rsidRPr="00016017">
        <w:rPr>
          <w:rStyle w:val="A5"/>
          <w:rFonts w:ascii="Palatino" w:hAnsi="Palatino"/>
          <w:sz w:val="24"/>
          <w:szCs w:val="24"/>
        </w:rPr>
        <w:t xml:space="preserve"> chi comanda è ingiusto. Infatti, proprio perché è più forte, il detentore del potere finirà col cedere alla </w:t>
      </w:r>
      <w:proofErr w:type="spellStart"/>
      <w:r w:rsidRPr="00016017">
        <w:rPr>
          <w:rStyle w:val="A5"/>
          <w:rFonts w:ascii="Palatino" w:hAnsi="Palatino"/>
          <w:i/>
          <w:iCs/>
          <w:sz w:val="24"/>
          <w:szCs w:val="24"/>
        </w:rPr>
        <w:t>pleonexia</w:t>
      </w:r>
      <w:proofErr w:type="spellEnd"/>
      <w:r w:rsidRPr="00016017">
        <w:rPr>
          <w:rStyle w:val="A5"/>
          <w:rFonts w:ascii="Palatino" w:hAnsi="Palatino"/>
          <w:sz w:val="24"/>
          <w:szCs w:val="24"/>
        </w:rPr>
        <w:t xml:space="preserve">, quindi all’ingiustizia. Secondo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(1998 p. 250), si passa così dal livello politico alla dimensione morale. E qui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ricorrendo ad argomentazioni retoriche di stampo tipicamente sofistico, tenterà di rovesciare la valutazione negativa, che attiene per definizione all’ingiustizia, in una valutazione positiva. </w:t>
      </w:r>
    </w:p>
    <w:p w:rsidR="00016017" w:rsidRPr="00016017" w:rsidRDefault="00016017" w:rsidP="00016017">
      <w:pPr>
        <w:pStyle w:val="NormaleWeb"/>
        <w:spacing w:before="0" w:beforeAutospacing="0" w:after="0"/>
        <w:jc w:val="both"/>
        <w:rPr>
          <w:rFonts w:ascii="Times New Roman" w:hAnsi="Times New Roman"/>
          <w:sz w:val="24"/>
          <w:szCs w:val="24"/>
        </w:rPr>
      </w:pPr>
      <w:r w:rsidRPr="00016017">
        <w:rPr>
          <w:rStyle w:val="A5"/>
          <w:rFonts w:ascii="Palatino" w:hAnsi="Palatino"/>
          <w:sz w:val="24"/>
          <w:szCs w:val="24"/>
        </w:rPr>
        <w:lastRenderedPageBreak/>
        <w:t xml:space="preserve">In un articolo relativamente recente Franco </w:t>
      </w:r>
      <w:proofErr w:type="spellStart"/>
      <w:r w:rsidRPr="00016017">
        <w:rPr>
          <w:rStyle w:val="A5"/>
          <w:rFonts w:ascii="Palatino" w:hAnsi="Palatino"/>
          <w:sz w:val="24"/>
          <w:szCs w:val="24"/>
        </w:rPr>
        <w:t>Trabattoni</w:t>
      </w:r>
      <w:proofErr w:type="spellEnd"/>
      <w:r w:rsidRPr="00016017">
        <w:rPr>
          <w:rStyle w:val="A5"/>
          <w:rFonts w:ascii="Palatino" w:hAnsi="Palatino"/>
          <w:sz w:val="24"/>
          <w:szCs w:val="24"/>
        </w:rPr>
        <w:t xml:space="preserve"> ha criticato l’interpretazione di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in particolare per quanto riguarda la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Il punto di partenza è dato da </w:t>
      </w:r>
      <w:proofErr w:type="spellStart"/>
      <w:proofErr w:type="gramStart"/>
      <w:r w:rsidRPr="00016017">
        <w:rPr>
          <w:rStyle w:val="A5"/>
          <w:rFonts w:ascii="Palatino" w:hAnsi="Palatino"/>
          <w:i/>
          <w:iCs/>
          <w:sz w:val="24"/>
          <w:szCs w:val="24"/>
        </w:rPr>
        <w:t>Resp</w:t>
      </w:r>
      <w:proofErr w:type="spellEnd"/>
      <w:r w:rsidRPr="00016017">
        <w:rPr>
          <w:rStyle w:val="A5"/>
          <w:rFonts w:ascii="Palatino" w:hAnsi="Palatino"/>
          <w:sz w:val="24"/>
          <w:szCs w:val="24"/>
        </w:rPr>
        <w:t>.</w:t>
      </w:r>
      <w:proofErr w:type="gramEnd"/>
      <w:r w:rsidRPr="00016017">
        <w:rPr>
          <w:rStyle w:val="A5"/>
          <w:rFonts w:ascii="Palatino" w:hAnsi="Palatino"/>
          <w:sz w:val="24"/>
          <w:szCs w:val="24"/>
        </w:rPr>
        <w:t xml:space="preserve"> 338 e: </w:t>
      </w:r>
      <w:r w:rsidRPr="00016017">
        <w:rPr>
          <w:rFonts w:ascii="Times New Roman" w:hAnsi="Times New Roman"/>
          <w:sz w:val="24"/>
          <w:szCs w:val="24"/>
          <w:lang w:val="el-GR"/>
        </w:rPr>
        <w:t>θ</w:t>
      </w:r>
      <w:r w:rsidRPr="00016017">
        <w:rPr>
          <w:rFonts w:ascii="Minion Pro Med" w:hAnsi="Minion Pro Med" w:cs="Minion Pro Med"/>
          <w:sz w:val="24"/>
          <w:szCs w:val="24"/>
          <w:lang w:val="el-GR"/>
        </w:rPr>
        <w:t>έ</w:t>
      </w:r>
      <w:r w:rsidRPr="00016017">
        <w:rPr>
          <w:rFonts w:ascii="Times New Roman" w:hAnsi="Times New Roman"/>
          <w:sz w:val="24"/>
          <w:szCs w:val="24"/>
          <w:lang w:val="el-GR"/>
        </w:rPr>
        <w:t>μεναι δ</w:t>
      </w:r>
      <w:r w:rsidRPr="00016017">
        <w:rPr>
          <w:rFonts w:ascii="Minion Pro Med" w:hAnsi="Minion Pro Med" w:cs="Minion Pro Med"/>
          <w:sz w:val="24"/>
          <w:szCs w:val="24"/>
          <w:lang w:val="el-GR"/>
        </w:rPr>
        <w:t>ὲ</w:t>
      </w:r>
      <w:r w:rsidRPr="00016017">
        <w:rPr>
          <w:rFonts w:ascii="Times New Roman" w:hAnsi="Times New Roman"/>
          <w:sz w:val="24"/>
          <w:szCs w:val="24"/>
          <w:lang w:val="el-GR"/>
        </w:rPr>
        <w:t xml:space="preserve"> </w:t>
      </w:r>
      <w:r w:rsidRPr="00016017">
        <w:rPr>
          <w:rFonts w:ascii="Minion Pro Med" w:hAnsi="Minion Pro Med" w:cs="Minion Pro Med"/>
          <w:sz w:val="24"/>
          <w:szCs w:val="24"/>
          <w:lang w:val="el-GR"/>
        </w:rPr>
        <w:t>ἀ</w:t>
      </w:r>
      <w:r w:rsidRPr="00016017">
        <w:rPr>
          <w:rFonts w:ascii="Times New Roman" w:hAnsi="Times New Roman"/>
          <w:sz w:val="24"/>
          <w:szCs w:val="24"/>
          <w:lang w:val="el-GR"/>
        </w:rPr>
        <w:t>π</w:t>
      </w:r>
      <w:r w:rsidRPr="00016017">
        <w:rPr>
          <w:rFonts w:ascii="Minion Pro Med" w:hAnsi="Minion Pro Med" w:cs="Minion Pro Med"/>
          <w:sz w:val="24"/>
          <w:szCs w:val="24"/>
          <w:lang w:val="el-GR"/>
        </w:rPr>
        <w:t>έ</w:t>
      </w:r>
      <w:r w:rsidRPr="00016017">
        <w:rPr>
          <w:rFonts w:ascii="Times New Roman" w:hAnsi="Times New Roman"/>
          <w:sz w:val="24"/>
          <w:szCs w:val="24"/>
          <w:lang w:val="el-GR"/>
        </w:rPr>
        <w:t>φηναν το</w:t>
      </w:r>
      <w:r w:rsidRPr="00016017">
        <w:rPr>
          <w:rFonts w:ascii="Minion Pro Med" w:hAnsi="Minion Pro Med" w:cs="Minion Pro Med"/>
          <w:sz w:val="24"/>
          <w:szCs w:val="24"/>
          <w:lang w:val="el-GR"/>
        </w:rPr>
        <w:t>ῦ</w:t>
      </w:r>
      <w:r w:rsidRPr="00016017">
        <w:rPr>
          <w:rFonts w:ascii="Times New Roman" w:hAnsi="Times New Roman"/>
          <w:sz w:val="24"/>
          <w:szCs w:val="24"/>
          <w:lang w:val="el-GR"/>
        </w:rPr>
        <w:t>το δ</w:t>
      </w:r>
      <w:r w:rsidRPr="00016017">
        <w:rPr>
          <w:rFonts w:ascii="Minion Pro Med" w:hAnsi="Minion Pro Med" w:cs="Minion Pro Med"/>
          <w:sz w:val="24"/>
          <w:szCs w:val="24"/>
          <w:lang w:val="el-GR"/>
        </w:rPr>
        <w:t>ί</w:t>
      </w:r>
      <w:r w:rsidRPr="00016017">
        <w:rPr>
          <w:rFonts w:ascii="Times New Roman" w:hAnsi="Times New Roman"/>
          <w:sz w:val="24"/>
          <w:szCs w:val="24"/>
          <w:lang w:val="el-GR"/>
        </w:rPr>
        <w:t>καιον το</w:t>
      </w:r>
      <w:r w:rsidRPr="00016017">
        <w:rPr>
          <w:rFonts w:ascii="Minion Pro Med" w:hAnsi="Minion Pro Med" w:cs="Minion Pro Med"/>
          <w:sz w:val="24"/>
          <w:szCs w:val="24"/>
          <w:lang w:val="el-GR"/>
        </w:rPr>
        <w:t>ῖ</w:t>
      </w:r>
      <w:r w:rsidRPr="00016017">
        <w:rPr>
          <w:rFonts w:ascii="Times New Roman" w:hAnsi="Times New Roman"/>
          <w:sz w:val="24"/>
          <w:szCs w:val="24"/>
          <w:lang w:val="el-GR"/>
        </w:rPr>
        <w:t xml:space="preserve">ς </w:t>
      </w:r>
      <w:r w:rsidRPr="00016017">
        <w:rPr>
          <w:rFonts w:ascii="Minion Pro Med" w:hAnsi="Minion Pro Med" w:cs="Minion Pro Med"/>
          <w:sz w:val="24"/>
          <w:szCs w:val="24"/>
          <w:lang w:val="el-GR"/>
        </w:rPr>
        <w:t>ἀ</w:t>
      </w:r>
      <w:r w:rsidRPr="00016017">
        <w:rPr>
          <w:rFonts w:ascii="Times New Roman" w:hAnsi="Times New Roman"/>
          <w:sz w:val="24"/>
          <w:szCs w:val="24"/>
          <w:lang w:val="el-GR"/>
        </w:rPr>
        <w:t>ρχομ</w:t>
      </w:r>
      <w:r w:rsidRPr="00016017">
        <w:rPr>
          <w:rFonts w:ascii="Minion Pro Med" w:hAnsi="Minion Pro Med" w:cs="Minion Pro Med"/>
          <w:sz w:val="24"/>
          <w:szCs w:val="24"/>
          <w:lang w:val="el-GR"/>
        </w:rPr>
        <w:t>έ</w:t>
      </w:r>
      <w:r w:rsidRPr="00016017">
        <w:rPr>
          <w:rFonts w:ascii="Times New Roman" w:hAnsi="Times New Roman"/>
          <w:sz w:val="24"/>
          <w:szCs w:val="24"/>
          <w:lang w:val="el-GR"/>
        </w:rPr>
        <w:t>νοις ε</w:t>
      </w:r>
      <w:r w:rsidRPr="00016017">
        <w:rPr>
          <w:rFonts w:ascii="Minion Pro Med" w:hAnsi="Minion Pro Med" w:cs="Minion Pro Med"/>
          <w:sz w:val="24"/>
          <w:szCs w:val="24"/>
          <w:lang w:val="el-GR"/>
        </w:rPr>
        <w:t>ἶ</w:t>
      </w:r>
      <w:r w:rsidRPr="00016017">
        <w:rPr>
          <w:rFonts w:ascii="Times New Roman" w:hAnsi="Times New Roman"/>
          <w:sz w:val="24"/>
          <w:szCs w:val="24"/>
          <w:lang w:val="el-GR"/>
        </w:rPr>
        <w:t>ναι, τ</w:t>
      </w:r>
      <w:r w:rsidRPr="00016017">
        <w:rPr>
          <w:rFonts w:ascii="Minion Pro Med" w:hAnsi="Minion Pro Med" w:cs="Minion Pro Med"/>
          <w:sz w:val="24"/>
          <w:szCs w:val="24"/>
          <w:lang w:val="el-GR"/>
        </w:rPr>
        <w:t>ὸ</w:t>
      </w:r>
      <w:r w:rsidRPr="00016017">
        <w:rPr>
          <w:rFonts w:ascii="Times New Roman" w:hAnsi="Times New Roman"/>
          <w:sz w:val="24"/>
          <w:szCs w:val="24"/>
          <w:lang w:val="el-GR"/>
        </w:rPr>
        <w:t xml:space="preserve"> σφ</w:t>
      </w:r>
      <w:r w:rsidRPr="00016017">
        <w:rPr>
          <w:rFonts w:ascii="Minion Pro Med" w:hAnsi="Minion Pro Med" w:cs="Minion Pro Med"/>
          <w:sz w:val="24"/>
          <w:szCs w:val="24"/>
          <w:lang w:val="el-GR"/>
        </w:rPr>
        <w:t>ί</w:t>
      </w:r>
      <w:r w:rsidRPr="00016017">
        <w:rPr>
          <w:rFonts w:ascii="Times New Roman" w:hAnsi="Times New Roman"/>
          <w:sz w:val="24"/>
          <w:szCs w:val="24"/>
          <w:lang w:val="el-GR"/>
        </w:rPr>
        <w:t>σι συμφ</w:t>
      </w:r>
      <w:r w:rsidRPr="00016017">
        <w:rPr>
          <w:rFonts w:ascii="Minion Pro Med" w:hAnsi="Minion Pro Med" w:cs="Minion Pro Med"/>
          <w:sz w:val="24"/>
          <w:szCs w:val="24"/>
          <w:lang w:val="el-GR"/>
        </w:rPr>
        <w:t>έ</w:t>
      </w:r>
      <w:r w:rsidRPr="00016017">
        <w:rPr>
          <w:rFonts w:ascii="Times New Roman" w:hAnsi="Times New Roman"/>
          <w:sz w:val="24"/>
          <w:szCs w:val="24"/>
          <w:lang w:val="el-GR"/>
        </w:rPr>
        <w:t>ρον, κα</w:t>
      </w:r>
      <w:r w:rsidRPr="00016017">
        <w:rPr>
          <w:rFonts w:ascii="Minion Pro Med" w:hAnsi="Minion Pro Med" w:cs="Minion Pro Med"/>
          <w:sz w:val="24"/>
          <w:szCs w:val="24"/>
          <w:lang w:val="el-GR"/>
        </w:rPr>
        <w:t>ὶ</w:t>
      </w:r>
      <w:r w:rsidRPr="00016017">
        <w:rPr>
          <w:rFonts w:ascii="Times New Roman" w:hAnsi="Times New Roman"/>
          <w:sz w:val="24"/>
          <w:szCs w:val="24"/>
          <w:lang w:val="el-GR"/>
        </w:rPr>
        <w:t xml:space="preserve"> τ</w:t>
      </w:r>
      <w:r w:rsidRPr="00016017">
        <w:rPr>
          <w:rFonts w:ascii="Minion Pro Med" w:hAnsi="Minion Pro Med" w:cs="Minion Pro Med"/>
          <w:sz w:val="24"/>
          <w:szCs w:val="24"/>
          <w:lang w:val="el-GR"/>
        </w:rPr>
        <w:t>ὸ</w:t>
      </w:r>
      <w:r w:rsidRPr="00016017">
        <w:rPr>
          <w:rFonts w:ascii="Times New Roman" w:hAnsi="Times New Roman"/>
          <w:sz w:val="24"/>
          <w:szCs w:val="24"/>
          <w:lang w:val="el-GR"/>
        </w:rPr>
        <w:t>ν το</w:t>
      </w:r>
      <w:r w:rsidRPr="00016017">
        <w:rPr>
          <w:rFonts w:ascii="Minion Pro Med" w:hAnsi="Minion Pro Med" w:cs="Minion Pro Med"/>
          <w:sz w:val="24"/>
          <w:szCs w:val="24"/>
          <w:lang w:val="el-GR"/>
        </w:rPr>
        <w:t>ύ</w:t>
      </w:r>
      <w:r w:rsidRPr="00016017">
        <w:rPr>
          <w:rFonts w:ascii="Times New Roman" w:hAnsi="Times New Roman"/>
          <w:sz w:val="24"/>
          <w:szCs w:val="24"/>
          <w:lang w:val="el-GR"/>
        </w:rPr>
        <w:t xml:space="preserve">του </w:t>
      </w:r>
      <w:r w:rsidRPr="00016017">
        <w:rPr>
          <w:rFonts w:ascii="Minion Pro Med" w:hAnsi="Minion Pro Med" w:cs="Minion Pro Med"/>
          <w:sz w:val="24"/>
          <w:szCs w:val="24"/>
          <w:lang w:val="el-GR"/>
        </w:rPr>
        <w:t>ἐ</w:t>
      </w:r>
      <w:r w:rsidRPr="00016017">
        <w:rPr>
          <w:rFonts w:ascii="Times New Roman" w:hAnsi="Times New Roman"/>
          <w:sz w:val="24"/>
          <w:szCs w:val="24"/>
          <w:lang w:val="el-GR"/>
        </w:rPr>
        <w:t>κβα</w:t>
      </w:r>
      <w:r w:rsidRPr="00016017">
        <w:rPr>
          <w:rFonts w:ascii="Minion Pro Med" w:hAnsi="Minion Pro Med" w:cs="Minion Pro Med"/>
          <w:sz w:val="24"/>
          <w:szCs w:val="24"/>
          <w:lang w:val="el-GR"/>
        </w:rPr>
        <w:t>ί</w:t>
      </w:r>
      <w:r w:rsidRPr="00016017">
        <w:rPr>
          <w:rFonts w:ascii="Times New Roman" w:hAnsi="Times New Roman"/>
          <w:sz w:val="24"/>
          <w:szCs w:val="24"/>
          <w:lang w:val="el-GR"/>
        </w:rPr>
        <w:t>νοντα κολ</w:t>
      </w:r>
      <w:r w:rsidRPr="00016017">
        <w:rPr>
          <w:rFonts w:ascii="Minion Pro Med" w:hAnsi="Minion Pro Med" w:cs="Minion Pro Med"/>
          <w:sz w:val="24"/>
          <w:szCs w:val="24"/>
          <w:lang w:val="el-GR"/>
        </w:rPr>
        <w:t>ά</w:t>
      </w:r>
      <w:r w:rsidRPr="00016017">
        <w:rPr>
          <w:rFonts w:ascii="Times New Roman" w:hAnsi="Times New Roman"/>
          <w:sz w:val="24"/>
          <w:szCs w:val="24"/>
          <w:lang w:val="el-GR"/>
        </w:rPr>
        <w:t xml:space="preserve">ζουσιν </w:t>
      </w:r>
      <w:r w:rsidRPr="00016017">
        <w:rPr>
          <w:rFonts w:ascii="Minion Pro Med" w:hAnsi="Minion Pro Med" w:cs="Minion Pro Med"/>
          <w:sz w:val="24"/>
          <w:szCs w:val="24"/>
          <w:lang w:val="el-GR"/>
        </w:rPr>
        <w:t>ὡ</w:t>
      </w:r>
      <w:r w:rsidRPr="00016017">
        <w:rPr>
          <w:rFonts w:ascii="Times New Roman" w:hAnsi="Times New Roman"/>
          <w:sz w:val="24"/>
          <w:szCs w:val="24"/>
          <w:lang w:val="el-GR"/>
        </w:rPr>
        <w:t>ς παρανομο</w:t>
      </w:r>
      <w:r w:rsidRPr="00016017">
        <w:rPr>
          <w:rFonts w:ascii="Minion Pro Med" w:hAnsi="Minion Pro Med" w:cs="Minion Pro Med"/>
          <w:sz w:val="24"/>
          <w:szCs w:val="24"/>
          <w:lang w:val="el-GR"/>
        </w:rPr>
        <w:t>ῦ</w:t>
      </w:r>
      <w:r w:rsidRPr="00016017">
        <w:rPr>
          <w:rFonts w:ascii="Times New Roman" w:hAnsi="Times New Roman"/>
          <w:sz w:val="24"/>
          <w:szCs w:val="24"/>
          <w:lang w:val="el-GR"/>
        </w:rPr>
        <w:t>ντ</w:t>
      </w:r>
      <w:r w:rsidRPr="00016017">
        <w:rPr>
          <w:rFonts w:ascii="Minion Pro Med" w:hAnsi="Minion Pro Med" w:cs="Minion Pro Med"/>
          <w:sz w:val="24"/>
          <w:szCs w:val="24"/>
          <w:lang w:val="el-GR"/>
        </w:rPr>
        <w:t>ά</w:t>
      </w:r>
      <w:r w:rsidRPr="00016017">
        <w:rPr>
          <w:rFonts w:ascii="Times New Roman" w:hAnsi="Times New Roman"/>
          <w:sz w:val="24"/>
          <w:szCs w:val="24"/>
          <w:lang w:val="el-GR"/>
        </w:rPr>
        <w:t xml:space="preserve"> τε κα</w:t>
      </w:r>
      <w:r w:rsidRPr="00016017">
        <w:rPr>
          <w:rFonts w:ascii="Minion Pro Med" w:hAnsi="Minion Pro Med" w:cs="Minion Pro Med"/>
          <w:sz w:val="24"/>
          <w:szCs w:val="24"/>
          <w:lang w:val="el-GR"/>
        </w:rPr>
        <w:t>ὶ</w:t>
      </w:r>
      <w:r w:rsidRPr="00016017">
        <w:rPr>
          <w:rFonts w:ascii="Times New Roman" w:hAnsi="Times New Roman"/>
          <w:sz w:val="24"/>
          <w:szCs w:val="24"/>
          <w:lang w:val="el-GR"/>
        </w:rPr>
        <w:t xml:space="preserve"> </w:t>
      </w:r>
      <w:r w:rsidRPr="00016017">
        <w:rPr>
          <w:rFonts w:ascii="Minion Pro Med" w:hAnsi="Minion Pro Med" w:cs="Minion Pro Med"/>
          <w:sz w:val="24"/>
          <w:szCs w:val="24"/>
          <w:lang w:val="el-GR"/>
        </w:rPr>
        <w:t>ἀ</w:t>
      </w:r>
      <w:r w:rsidRPr="00016017">
        <w:rPr>
          <w:rFonts w:ascii="Times New Roman" w:hAnsi="Times New Roman"/>
          <w:sz w:val="24"/>
          <w:szCs w:val="24"/>
          <w:lang w:val="el-GR"/>
        </w:rPr>
        <w:t>δικο</w:t>
      </w:r>
      <w:r w:rsidRPr="00016017">
        <w:rPr>
          <w:rFonts w:ascii="Minion Pro Med" w:hAnsi="Minion Pro Med" w:cs="Minion Pro Med"/>
          <w:sz w:val="24"/>
          <w:szCs w:val="24"/>
          <w:lang w:val="el-GR"/>
        </w:rPr>
        <w:t>ῦ</w:t>
      </w:r>
      <w:r w:rsidRPr="00016017">
        <w:rPr>
          <w:rFonts w:ascii="Times New Roman" w:hAnsi="Times New Roman"/>
          <w:sz w:val="24"/>
          <w:szCs w:val="24"/>
          <w:lang w:val="el-GR"/>
        </w:rPr>
        <w:t>ντα.</w:t>
      </w:r>
    </w:p>
    <w:p w:rsidR="00016017" w:rsidRPr="00016017" w:rsidRDefault="00016017" w:rsidP="00016017">
      <w:pPr>
        <w:pStyle w:val="Pa20"/>
        <w:jc w:val="both"/>
        <w:rPr>
          <w:rFonts w:ascii="Palatino" w:hAnsi="Palatino" w:cs="HelveticaNeueLT Std Lt"/>
          <w:color w:val="221E1F"/>
        </w:rPr>
      </w:pPr>
      <w:r w:rsidRPr="00016017">
        <w:rPr>
          <w:rStyle w:val="A5"/>
          <w:rFonts w:ascii="Palatino" w:hAnsi="Palatino"/>
          <w:sz w:val="24"/>
          <w:szCs w:val="24"/>
        </w:rPr>
        <w:t xml:space="preserve">Le traduzioni di questo brano sono relativamente concordi: le leggi, una volta promulgate, hanno stabilito nei diversi regimi che è </w:t>
      </w:r>
      <w:proofErr w:type="spellStart"/>
      <w:r w:rsidRPr="00016017">
        <w:rPr>
          <w:rStyle w:val="A5"/>
          <w:rFonts w:ascii="Palatino" w:hAnsi="Palatino"/>
          <w:i/>
          <w:iCs/>
          <w:sz w:val="24"/>
          <w:szCs w:val="24"/>
        </w:rPr>
        <w:t>dikaion</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ciò che è vantaggioso per i governanti; perciò </w:t>
      </w:r>
      <w:proofErr w:type="gramStart"/>
      <w:r w:rsidRPr="00016017">
        <w:rPr>
          <w:rStyle w:val="A5"/>
          <w:rFonts w:ascii="Palatino" w:hAnsi="Palatino"/>
          <w:sz w:val="24"/>
          <w:szCs w:val="24"/>
        </w:rPr>
        <w:t>puniscono</w:t>
      </w:r>
      <w:proofErr w:type="gramEnd"/>
      <w:r w:rsidRPr="00016017">
        <w:rPr>
          <w:rStyle w:val="A5"/>
          <w:rFonts w:ascii="Palatino" w:hAnsi="Palatino"/>
          <w:sz w:val="24"/>
          <w:szCs w:val="24"/>
        </w:rPr>
        <w:t xml:space="preserve"> chi non vi si attiene in quanto infrange la legge e commette ingiustizia.</w:t>
      </w:r>
      <w:r w:rsidRPr="00016017">
        <w:rPr>
          <w:rStyle w:val="Rimandonotaapidipagina"/>
          <w:rFonts w:ascii="Palatino" w:hAnsi="Palatino" w:cs="HelveticaNeueLT Std Lt"/>
          <w:color w:val="221E1F"/>
        </w:rPr>
        <w:footnoteReference w:id="4"/>
      </w:r>
      <w:r w:rsidRPr="00016017">
        <w:rPr>
          <w:rStyle w:val="A5"/>
          <w:rFonts w:ascii="Palatino" w:hAnsi="Palatino"/>
          <w:sz w:val="24"/>
          <w:szCs w:val="24"/>
        </w:rPr>
        <w:t xml:space="preserve"> Secondo </w:t>
      </w:r>
      <w:proofErr w:type="spellStart"/>
      <w:r w:rsidRPr="00016017">
        <w:rPr>
          <w:rStyle w:val="A5"/>
          <w:rFonts w:ascii="Palatino" w:hAnsi="Palatino"/>
          <w:sz w:val="24"/>
          <w:szCs w:val="24"/>
        </w:rPr>
        <w:t>Trabattoni</w:t>
      </w:r>
      <w:proofErr w:type="spellEnd"/>
      <w:r w:rsidRPr="00016017">
        <w:rPr>
          <w:rStyle w:val="A5"/>
          <w:rFonts w:ascii="Palatino" w:hAnsi="Palatino"/>
          <w:sz w:val="24"/>
          <w:szCs w:val="24"/>
        </w:rPr>
        <w:t xml:space="preserve"> la legge non determina la natura del giusto e dell’ingiusto, come vorrebbe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ma </w:t>
      </w:r>
      <w:proofErr w:type="gramStart"/>
      <w:r w:rsidRPr="00016017">
        <w:rPr>
          <w:rStyle w:val="A5"/>
          <w:rFonts w:ascii="Palatino" w:hAnsi="Palatino"/>
          <w:sz w:val="24"/>
          <w:szCs w:val="24"/>
        </w:rPr>
        <w:t xml:space="preserve">si </w:t>
      </w:r>
      <w:proofErr w:type="gramEnd"/>
      <w:r w:rsidRPr="00016017">
        <w:rPr>
          <w:rStyle w:val="A5"/>
          <w:rFonts w:ascii="Palatino" w:hAnsi="Palatino"/>
          <w:sz w:val="24"/>
          <w:szCs w:val="24"/>
        </w:rPr>
        <w:t xml:space="preserve">incarica di rendere noto il principio secondo cui il giusto è l’utile di chi comanda. Inoltre la legge esercita un ruolo coercitivo, costringendo </w:t>
      </w:r>
      <w:proofErr w:type="gramStart"/>
      <w:r w:rsidRPr="00016017">
        <w:rPr>
          <w:rStyle w:val="A5"/>
          <w:rFonts w:ascii="Palatino" w:hAnsi="Palatino"/>
          <w:sz w:val="24"/>
          <w:szCs w:val="24"/>
        </w:rPr>
        <w:t>coloro che sono</w:t>
      </w:r>
      <w:proofErr w:type="gramEnd"/>
      <w:r w:rsidRPr="00016017">
        <w:rPr>
          <w:rStyle w:val="A5"/>
          <w:rFonts w:ascii="Palatino" w:hAnsi="Palatino"/>
          <w:sz w:val="24"/>
          <w:szCs w:val="24"/>
        </w:rPr>
        <w:t xml:space="preserve"> comandati a realizzare la “giustizia” che essa ha rivelato loro, ossia l’utile dei governanti. Per qualificare la legislazione nella definizione </w:t>
      </w:r>
      <w:proofErr w:type="spellStart"/>
      <w:r w:rsidRPr="00016017">
        <w:rPr>
          <w:rStyle w:val="A5"/>
          <w:rFonts w:ascii="Palatino" w:hAnsi="Palatino"/>
          <w:i/>
          <w:iCs/>
          <w:sz w:val="24"/>
          <w:szCs w:val="24"/>
        </w:rPr>
        <w:t>Ta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non si può quindi parlare di “</w:t>
      </w:r>
      <w:proofErr w:type="spellStart"/>
      <w:r w:rsidRPr="00016017">
        <w:rPr>
          <w:rStyle w:val="A5"/>
          <w:rFonts w:ascii="Palatino" w:hAnsi="Palatino"/>
          <w:sz w:val="24"/>
          <w:szCs w:val="24"/>
        </w:rPr>
        <w:t>Rechtspositivismus</w:t>
      </w:r>
      <w:proofErr w:type="spellEnd"/>
      <w:r w:rsidRPr="00016017">
        <w:rPr>
          <w:rStyle w:val="A5"/>
          <w:rFonts w:ascii="Palatino" w:hAnsi="Palatino"/>
          <w:sz w:val="24"/>
          <w:szCs w:val="24"/>
        </w:rPr>
        <w:t xml:space="preserve">”, come fa invece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perché i governanti non sono liberi di definire come giusta qualunque cosa piaccia loro definire come tale. La giustizia non è altro, e non può essere altro, che l’utile, cioè il benessere, dei governanti. L’unico elemento variabile consiste dunque nel numero dei beneficiari del comportamento “giusto” dei governati, numero che varia appunto </w:t>
      </w:r>
      <w:proofErr w:type="gramStart"/>
      <w:r w:rsidRPr="00016017">
        <w:rPr>
          <w:rStyle w:val="A5"/>
          <w:rFonts w:ascii="Palatino" w:hAnsi="Palatino"/>
          <w:sz w:val="24"/>
          <w:szCs w:val="24"/>
        </w:rPr>
        <w:t>a seconda del</w:t>
      </w:r>
      <w:proofErr w:type="gramEnd"/>
      <w:r w:rsidRPr="00016017">
        <w:rPr>
          <w:rStyle w:val="A5"/>
          <w:rFonts w:ascii="Palatino" w:hAnsi="Palatino"/>
          <w:sz w:val="24"/>
          <w:szCs w:val="24"/>
        </w:rPr>
        <w:t xml:space="preserve"> tipo di regime. Se l’ho ben </w:t>
      </w:r>
      <w:proofErr w:type="gramStart"/>
      <w:r w:rsidRPr="00016017">
        <w:rPr>
          <w:rStyle w:val="A5"/>
          <w:rFonts w:ascii="Palatino" w:hAnsi="Palatino"/>
          <w:sz w:val="24"/>
          <w:szCs w:val="24"/>
        </w:rPr>
        <w:t>compresa,</w:t>
      </w:r>
      <w:proofErr w:type="gramEnd"/>
      <w:r w:rsidRPr="00016017">
        <w:rPr>
          <w:rStyle w:val="A5"/>
          <w:rFonts w:ascii="Palatino" w:hAnsi="Palatino"/>
          <w:sz w:val="24"/>
          <w:szCs w:val="24"/>
        </w:rPr>
        <w:t xml:space="preserve"> la critica di </w:t>
      </w:r>
      <w:proofErr w:type="spellStart"/>
      <w:r w:rsidRPr="00016017">
        <w:rPr>
          <w:rStyle w:val="A5"/>
          <w:rFonts w:ascii="Palatino" w:hAnsi="Palatino"/>
          <w:sz w:val="24"/>
          <w:szCs w:val="24"/>
        </w:rPr>
        <w:t>Trabattoni</w:t>
      </w:r>
      <w:proofErr w:type="spellEnd"/>
      <w:r w:rsidRPr="00016017">
        <w:rPr>
          <w:rStyle w:val="A5"/>
          <w:rFonts w:ascii="Palatino" w:hAnsi="Palatino"/>
          <w:sz w:val="24"/>
          <w:szCs w:val="24"/>
        </w:rPr>
        <w:t xml:space="preserve"> su questo punto non mi sembra convincente. Intanto per </w:t>
      </w:r>
      <w:proofErr w:type="gramStart"/>
      <w:r w:rsidRPr="00016017">
        <w:rPr>
          <w:rStyle w:val="A5"/>
          <w:rFonts w:ascii="Palatino" w:hAnsi="Palatino"/>
          <w:sz w:val="24"/>
          <w:szCs w:val="24"/>
        </w:rPr>
        <w:t>rendere noto</w:t>
      </w:r>
      <w:proofErr w:type="gramEnd"/>
      <w:r w:rsidRPr="00016017">
        <w:rPr>
          <w:rStyle w:val="A5"/>
          <w:rFonts w:ascii="Palatino" w:hAnsi="Palatino"/>
          <w:sz w:val="24"/>
          <w:szCs w:val="24"/>
        </w:rPr>
        <w:t xml:space="preserve"> che il giusto è l’utile di chi comanda non c’è bisogno di leggi: basta che i governanti, essendo i più forti, dispongano di adeguati strumenti coercitivi per assicurare l’osservanza dei loro ordini. In secondo luogo le leggi non sono generalmente formulate in modo da rendere esplicito che le disposizioni in esse contenute mirano ad assicurare l’utile dei governanti. Infine l’utile, o, se si preferisce, il benessere dei governanti non </w:t>
      </w:r>
      <w:proofErr w:type="gramStart"/>
      <w:r w:rsidRPr="00016017">
        <w:rPr>
          <w:rStyle w:val="A5"/>
          <w:rFonts w:ascii="Palatino" w:hAnsi="Palatino"/>
          <w:sz w:val="24"/>
          <w:szCs w:val="24"/>
        </w:rPr>
        <w:t>corrispondono</w:t>
      </w:r>
      <w:proofErr w:type="gramEnd"/>
      <w:r w:rsidRPr="00016017">
        <w:rPr>
          <w:rStyle w:val="A5"/>
          <w:rFonts w:ascii="Palatino" w:hAnsi="Palatino"/>
          <w:sz w:val="24"/>
          <w:szCs w:val="24"/>
        </w:rPr>
        <w:t xml:space="preserve"> a realtà uniformi e costanti: il benessere degli oligarchi è certo qualitativamente e quantitativamente diverso da quello che perseguono i regimi democratici. </w:t>
      </w:r>
    </w:p>
    <w:p w:rsidR="00016017" w:rsidRPr="00016017" w:rsidRDefault="00016017" w:rsidP="00016017">
      <w:pPr>
        <w:pStyle w:val="Pa20"/>
        <w:jc w:val="both"/>
        <w:rPr>
          <w:rFonts w:ascii="Palatino" w:hAnsi="Palatino" w:cs="HelveticaNeueLT Std Lt"/>
          <w:color w:val="221E1F"/>
        </w:rPr>
      </w:pPr>
      <w:r w:rsidRPr="00016017">
        <w:rPr>
          <w:rStyle w:val="A5"/>
          <w:rFonts w:ascii="Palatino" w:hAnsi="Palatino"/>
          <w:sz w:val="24"/>
          <w:szCs w:val="24"/>
        </w:rPr>
        <w:t xml:space="preserve">Quanto </w:t>
      </w:r>
      <w:proofErr w:type="gramStart"/>
      <w:r w:rsidRPr="00016017">
        <w:rPr>
          <w:rStyle w:val="A5"/>
          <w:rFonts w:ascii="Palatino" w:hAnsi="Palatino"/>
          <w:sz w:val="24"/>
          <w:szCs w:val="24"/>
        </w:rPr>
        <w:t>alla</w:t>
      </w:r>
      <w:proofErr w:type="gramEnd"/>
      <w:r w:rsidRPr="00016017">
        <w:rPr>
          <w:rStyle w:val="A5"/>
          <w:rFonts w:ascii="Palatino" w:hAnsi="Palatino"/>
          <w:sz w:val="24"/>
          <w:szCs w:val="24"/>
        </w:rPr>
        <w:t xml:space="preserve"> tesi </w:t>
      </w:r>
      <w:proofErr w:type="spellStart"/>
      <w:r w:rsidRPr="00016017">
        <w:rPr>
          <w:rStyle w:val="A5"/>
          <w:rFonts w:ascii="Palatino" w:hAnsi="Palatino"/>
          <w:i/>
          <w:iCs/>
          <w:sz w:val="24"/>
          <w:szCs w:val="24"/>
        </w:rPr>
        <w:t>Tb</w:t>
      </w:r>
      <w:proofErr w:type="spellEnd"/>
      <w:r w:rsidRPr="00016017">
        <w:rPr>
          <w:rStyle w:val="A5"/>
          <w:rFonts w:ascii="Palatino" w:hAnsi="Palatino"/>
          <w:sz w:val="24"/>
          <w:szCs w:val="24"/>
        </w:rPr>
        <w:t xml:space="preserve">, </w:t>
      </w:r>
      <w:proofErr w:type="spellStart"/>
      <w:r w:rsidRPr="00016017">
        <w:rPr>
          <w:rStyle w:val="A5"/>
          <w:rFonts w:ascii="Palatino" w:hAnsi="Palatino"/>
          <w:sz w:val="24"/>
          <w:szCs w:val="24"/>
        </w:rPr>
        <w:t>Trabattoni</w:t>
      </w:r>
      <w:proofErr w:type="spellEnd"/>
      <w:r w:rsidRPr="00016017">
        <w:rPr>
          <w:rStyle w:val="A5"/>
          <w:rFonts w:ascii="Palatino" w:hAnsi="Palatino"/>
          <w:sz w:val="24"/>
          <w:szCs w:val="24"/>
        </w:rPr>
        <w:t xml:space="preserve"> giunge alla conclusione che, se la giustizia è definita come “il bene altrui”, gli unici che praticano la giustizia sono appunto i governati, mentre i governanti, che realizzano il bene proprio, praticano l’ingiustizia. </w:t>
      </w:r>
      <w:proofErr w:type="gramStart"/>
      <w:r w:rsidRPr="00016017">
        <w:rPr>
          <w:rStyle w:val="A5"/>
          <w:rFonts w:ascii="Palatino" w:hAnsi="Palatino"/>
          <w:sz w:val="24"/>
          <w:szCs w:val="24"/>
        </w:rPr>
        <w:t>Questa</w:t>
      </w:r>
      <w:proofErr w:type="gramEnd"/>
      <w:r w:rsidRPr="00016017">
        <w:rPr>
          <w:rStyle w:val="A5"/>
          <w:rFonts w:ascii="Palatino" w:hAnsi="Palatino"/>
          <w:sz w:val="24"/>
          <w:szCs w:val="24"/>
        </w:rPr>
        <w:t xml:space="preserve"> affermazione apodittica (che corrisponde in effetti a quanto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dichiara in 343 b-d) non risolve però l’incongruenza fra </w:t>
      </w:r>
      <w:proofErr w:type="spellStart"/>
      <w:r w:rsidRPr="00016017">
        <w:rPr>
          <w:rStyle w:val="A5"/>
          <w:rFonts w:ascii="Palatino" w:hAnsi="Palatino"/>
          <w:i/>
          <w:iCs/>
          <w:sz w:val="24"/>
          <w:szCs w:val="24"/>
        </w:rPr>
        <w:t>Ta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e </w:t>
      </w:r>
      <w:proofErr w:type="spellStart"/>
      <w:r w:rsidRPr="00016017">
        <w:rPr>
          <w:rStyle w:val="A5"/>
          <w:rFonts w:ascii="Palatino" w:hAnsi="Palatino"/>
          <w:i/>
          <w:iCs/>
          <w:sz w:val="24"/>
          <w:szCs w:val="24"/>
        </w:rPr>
        <w:t>Tb</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rilevata da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Mi pare che ciò sia confermato dal fatto che la discussione </w:t>
      </w:r>
      <w:proofErr w:type="gramStart"/>
      <w:r w:rsidRPr="00016017">
        <w:rPr>
          <w:rStyle w:val="A5"/>
          <w:rFonts w:ascii="Palatino" w:hAnsi="Palatino"/>
          <w:sz w:val="24"/>
          <w:szCs w:val="24"/>
        </w:rPr>
        <w:t>relativa a</w:t>
      </w:r>
      <w:proofErr w:type="gramEnd"/>
      <w:r w:rsidRPr="00016017">
        <w:rPr>
          <w:rStyle w:val="A5"/>
          <w:rFonts w:ascii="Palatino" w:hAnsi="Palatino"/>
          <w:sz w:val="24"/>
          <w:szCs w:val="24"/>
        </w:rPr>
        <w:t xml:space="preserve">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così come Socrate la imposta, riguarda dapprima la nozione di utile (339 b-e), poi il significato da attribuire a più forte (341b – 342e), non l’eventuale ingiustizia dei governanti. Occorre tuttavia considerare che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stesso, senza esservi stato provocato da Socrate, </w:t>
      </w:r>
      <w:proofErr w:type="gramStart"/>
      <w:r w:rsidRPr="00016017">
        <w:rPr>
          <w:rStyle w:val="A5"/>
          <w:rFonts w:ascii="Palatino" w:hAnsi="Palatino"/>
          <w:sz w:val="24"/>
          <w:szCs w:val="24"/>
        </w:rPr>
        <w:t>introduce</w:t>
      </w:r>
      <w:proofErr w:type="gramEnd"/>
      <w:r w:rsidRPr="00016017">
        <w:rPr>
          <w:rStyle w:val="A5"/>
          <w:rFonts w:ascii="Palatino" w:hAnsi="Palatino"/>
          <w:sz w:val="24"/>
          <w:szCs w:val="24"/>
        </w:rPr>
        <w:t xml:space="preserve"> il riferimento all’ingiustizia dei governanti in 343 c. Viene quindi fatto di pensare che anche in </w:t>
      </w:r>
      <w:proofErr w:type="spellStart"/>
      <w:r w:rsidRPr="00016017">
        <w:rPr>
          <w:rStyle w:val="A5"/>
          <w:rFonts w:ascii="Palatino" w:hAnsi="Palatino"/>
          <w:i/>
          <w:iCs/>
          <w:sz w:val="24"/>
          <w:szCs w:val="24"/>
        </w:rPr>
        <w:t>Ta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fosse per lui implicito che il conse</w:t>
      </w:r>
      <w:r w:rsidRPr="00016017">
        <w:rPr>
          <w:rStyle w:val="A5"/>
          <w:rFonts w:ascii="Palatino" w:hAnsi="Palatino"/>
          <w:sz w:val="24"/>
          <w:szCs w:val="24"/>
        </w:rPr>
        <w:softHyphen/>
        <w:t xml:space="preserve">guimento dell’utile del più forte realizza comunque un’ingiustizia. Si tratta di un dato che a mio parere indebolisce la tesi di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secondo cui vi sarebbe un’incompatibilità sostanziale fra </w:t>
      </w:r>
      <w:proofErr w:type="spellStart"/>
      <w:r w:rsidRPr="00016017">
        <w:rPr>
          <w:rStyle w:val="A5"/>
          <w:rFonts w:ascii="Palatino" w:hAnsi="Palatino"/>
          <w:i/>
          <w:iCs/>
          <w:sz w:val="24"/>
          <w:szCs w:val="24"/>
        </w:rPr>
        <w:t>Ta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e </w:t>
      </w:r>
      <w:proofErr w:type="spellStart"/>
      <w:r w:rsidRPr="00016017">
        <w:rPr>
          <w:rStyle w:val="A5"/>
          <w:rFonts w:ascii="Palatino" w:hAnsi="Palatino"/>
          <w:i/>
          <w:iCs/>
          <w:sz w:val="24"/>
          <w:szCs w:val="24"/>
        </w:rPr>
        <w:t>Tb</w:t>
      </w:r>
      <w:proofErr w:type="spellEnd"/>
      <w:r w:rsidRPr="00016017">
        <w:rPr>
          <w:rStyle w:val="A5"/>
          <w:rFonts w:ascii="Palatino" w:hAnsi="Palatino"/>
          <w:sz w:val="24"/>
          <w:szCs w:val="24"/>
        </w:rPr>
        <w:t xml:space="preserve">. Ma nemmeno la riduzione </w:t>
      </w:r>
      <w:proofErr w:type="gramStart"/>
      <w:r w:rsidRPr="00016017">
        <w:rPr>
          <w:rStyle w:val="A5"/>
          <w:rFonts w:ascii="Palatino" w:hAnsi="Palatino"/>
          <w:sz w:val="24"/>
          <w:szCs w:val="24"/>
        </w:rPr>
        <w:t>ad</w:t>
      </w:r>
      <w:proofErr w:type="gramEnd"/>
      <w:r w:rsidRPr="00016017">
        <w:rPr>
          <w:rStyle w:val="A5"/>
          <w:rFonts w:ascii="Palatino" w:hAnsi="Palatino"/>
          <w:sz w:val="24"/>
          <w:szCs w:val="24"/>
        </w:rPr>
        <w:t xml:space="preserve"> una coerente unità delle argomentazioni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propugnata da </w:t>
      </w:r>
      <w:proofErr w:type="spellStart"/>
      <w:r w:rsidRPr="00016017">
        <w:rPr>
          <w:rStyle w:val="A5"/>
          <w:rFonts w:ascii="Palatino" w:hAnsi="Palatino"/>
          <w:sz w:val="24"/>
          <w:szCs w:val="24"/>
        </w:rPr>
        <w:t>Trabattoni</w:t>
      </w:r>
      <w:proofErr w:type="spellEnd"/>
      <w:r w:rsidRPr="00016017">
        <w:rPr>
          <w:rStyle w:val="A5"/>
          <w:rFonts w:ascii="Palatino" w:hAnsi="Palatino"/>
          <w:sz w:val="24"/>
          <w:szCs w:val="24"/>
        </w:rPr>
        <w:t xml:space="preserve">, convince del tutto. A mio parere, infatti, dal discorso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emerge una duplice considerazione della giustizia. Non parlerei però di due definizioni di giustizia, quanto piuttosto di due ambiti di applicazione </w:t>
      </w:r>
      <w:proofErr w:type="gramStart"/>
      <w:r w:rsidRPr="00016017">
        <w:rPr>
          <w:rStyle w:val="A5"/>
          <w:rFonts w:ascii="Palatino" w:hAnsi="Palatino"/>
          <w:sz w:val="24"/>
          <w:szCs w:val="24"/>
        </w:rPr>
        <w:t>della</w:t>
      </w:r>
      <w:proofErr w:type="gramEnd"/>
      <w:r w:rsidRPr="00016017">
        <w:rPr>
          <w:rStyle w:val="A5"/>
          <w:rFonts w:ascii="Palatino" w:hAnsi="Palatino"/>
          <w:sz w:val="24"/>
          <w:szCs w:val="24"/>
        </w:rPr>
        <w:t xml:space="preserve"> giustizia. Distinguerei cioè una giustizia “politica”, che attiene all’</w:t>
      </w:r>
      <w:proofErr w:type="spellStart"/>
      <w:r w:rsidRPr="00016017">
        <w:rPr>
          <w:rStyle w:val="A5"/>
          <w:rFonts w:ascii="Palatino" w:hAnsi="Palatino"/>
          <w:i/>
          <w:iCs/>
          <w:sz w:val="24"/>
          <w:szCs w:val="24"/>
        </w:rPr>
        <w:t>archein</w:t>
      </w:r>
      <w:proofErr w:type="spellEnd"/>
      <w:r w:rsidRPr="00016017">
        <w:rPr>
          <w:rStyle w:val="A5"/>
          <w:rFonts w:ascii="Palatino" w:hAnsi="Palatino"/>
          <w:sz w:val="24"/>
          <w:szCs w:val="24"/>
        </w:rPr>
        <w:t>, più precisamente alla distribuzione del potere all’interno della cittadinanza, da una giustizia “civile”,</w:t>
      </w:r>
      <w:proofErr w:type="gramStart"/>
      <w:r w:rsidRPr="00016017">
        <w:rPr>
          <w:rStyle w:val="Rimandonotaapidipagina"/>
          <w:rFonts w:ascii="Palatino" w:hAnsi="Palatino" w:cs="HelveticaNeueLT Std Lt"/>
          <w:color w:val="221E1F"/>
        </w:rPr>
        <w:footnoteReference w:id="5"/>
      </w:r>
      <w:r w:rsidRPr="00016017">
        <w:rPr>
          <w:rStyle w:val="A5"/>
          <w:rFonts w:ascii="Palatino" w:hAnsi="Palatino"/>
          <w:sz w:val="24"/>
          <w:szCs w:val="24"/>
        </w:rPr>
        <w:t xml:space="preserve"> </w:t>
      </w:r>
      <w:proofErr w:type="gramEnd"/>
      <w:r w:rsidRPr="00016017">
        <w:rPr>
          <w:rStyle w:val="A5"/>
          <w:rFonts w:ascii="Palatino" w:hAnsi="Palatino"/>
          <w:sz w:val="24"/>
          <w:szCs w:val="24"/>
        </w:rPr>
        <w:t xml:space="preserve">che attiene ai rapporti fra privati e ai rapporti fra privati e </w:t>
      </w:r>
      <w:r w:rsidRPr="00016017">
        <w:rPr>
          <w:rStyle w:val="A5"/>
          <w:rFonts w:ascii="Palatino" w:hAnsi="Palatino"/>
          <w:i/>
          <w:sz w:val="24"/>
          <w:szCs w:val="24"/>
        </w:rPr>
        <w:t>polis</w:t>
      </w:r>
      <w:r w:rsidRPr="00016017">
        <w:rPr>
          <w:rStyle w:val="A5"/>
          <w:rFonts w:ascii="Palatino" w:hAnsi="Palatino"/>
          <w:sz w:val="24"/>
          <w:szCs w:val="24"/>
        </w:rPr>
        <w:t xml:space="preserve">. La </w:t>
      </w:r>
      <w:r w:rsidRPr="00016017">
        <w:rPr>
          <w:rStyle w:val="A5"/>
          <w:rFonts w:ascii="Palatino" w:hAnsi="Palatino"/>
          <w:sz w:val="24"/>
          <w:szCs w:val="24"/>
        </w:rPr>
        <w:lastRenderedPageBreak/>
        <w:t xml:space="preserve">prima tesi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si riferisce alla giustizia “politica”, mentre la seconda tesi (</w:t>
      </w:r>
      <w:proofErr w:type="spellStart"/>
      <w:r w:rsidRPr="00016017">
        <w:rPr>
          <w:rStyle w:val="A5"/>
          <w:rFonts w:ascii="Palatino" w:hAnsi="Palatino"/>
          <w:i/>
          <w:iCs/>
          <w:sz w:val="24"/>
          <w:szCs w:val="24"/>
        </w:rPr>
        <w:t>Tb</w:t>
      </w:r>
      <w:proofErr w:type="spellEnd"/>
      <w:r w:rsidRPr="00016017">
        <w:rPr>
          <w:rStyle w:val="A5"/>
          <w:rFonts w:ascii="Palatino" w:hAnsi="Palatino"/>
          <w:sz w:val="24"/>
          <w:szCs w:val="24"/>
        </w:rPr>
        <w:t xml:space="preserve">), come mostra la lunga e accesa tirata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in 343 b – 344 c, si riferisce alla giustizia “civile”. Le due definizioni si sovrappongono soltanto nella figura del tiranno, che incarna il massimo </w:t>
      </w:r>
      <w:proofErr w:type="gramStart"/>
      <w:r w:rsidRPr="00016017">
        <w:rPr>
          <w:rStyle w:val="A5"/>
          <w:rFonts w:ascii="Palatino" w:hAnsi="Palatino"/>
          <w:sz w:val="24"/>
          <w:szCs w:val="24"/>
        </w:rPr>
        <w:t xml:space="preserve">di </w:t>
      </w:r>
      <w:proofErr w:type="gramEnd"/>
      <w:r w:rsidRPr="00016017">
        <w:rPr>
          <w:rStyle w:val="A5"/>
          <w:rFonts w:ascii="Palatino" w:hAnsi="Palatino"/>
          <w:sz w:val="24"/>
          <w:szCs w:val="24"/>
        </w:rPr>
        <w:t>ingiustizia “politica” e di ingiustizia “civile” (</w:t>
      </w:r>
      <w:proofErr w:type="spellStart"/>
      <w:r w:rsidRPr="00016017">
        <w:rPr>
          <w:rStyle w:val="A5"/>
          <w:rFonts w:ascii="Palatino" w:hAnsi="Palatino"/>
          <w:i/>
          <w:iCs/>
          <w:sz w:val="24"/>
          <w:szCs w:val="24"/>
        </w:rPr>
        <w:t>ten</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teleotaten</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adikian</w:t>
      </w:r>
      <w:proofErr w:type="spellEnd"/>
      <w:r w:rsidRPr="00016017">
        <w:rPr>
          <w:rStyle w:val="A5"/>
          <w:rFonts w:ascii="Palatino" w:hAnsi="Palatino"/>
          <w:sz w:val="24"/>
          <w:szCs w:val="24"/>
        </w:rPr>
        <w:t xml:space="preserve">: 344a). </w:t>
      </w:r>
    </w:p>
    <w:p w:rsidR="00016017" w:rsidRPr="00016017" w:rsidRDefault="00016017" w:rsidP="00016017">
      <w:pPr>
        <w:pStyle w:val="Pa20"/>
        <w:jc w:val="both"/>
        <w:rPr>
          <w:rFonts w:ascii="Palatino" w:hAnsi="Palatino" w:cs="HelveticaNeueLT Std Lt"/>
          <w:color w:val="221E1F"/>
        </w:rPr>
      </w:pPr>
      <w:r w:rsidRPr="00016017">
        <w:rPr>
          <w:rStyle w:val="A5"/>
          <w:rFonts w:ascii="Palatino" w:hAnsi="Palatino"/>
          <w:sz w:val="24"/>
          <w:szCs w:val="24"/>
        </w:rPr>
        <w:t xml:space="preserve">Provo ora a motivare la distinzione tra le due forme di giustizia/ingiustizia. Nell’illustrare la sua prima tesi,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insiste sul fatto che ogni regime politico emana una legislazione coerente con le caratteristiche che lo contraddistinguono (338 d-e). Ma Socrate, nel replicare, non si sofferma su </w:t>
      </w:r>
      <w:proofErr w:type="gramStart"/>
      <w:r w:rsidRPr="00016017">
        <w:rPr>
          <w:rStyle w:val="A5"/>
          <w:rFonts w:ascii="Palatino" w:hAnsi="Palatino"/>
          <w:sz w:val="24"/>
          <w:szCs w:val="24"/>
        </w:rPr>
        <w:t>questo</w:t>
      </w:r>
      <w:proofErr w:type="gramEnd"/>
      <w:r w:rsidRPr="00016017">
        <w:rPr>
          <w:rStyle w:val="A5"/>
          <w:rFonts w:ascii="Palatino" w:hAnsi="Palatino"/>
          <w:sz w:val="24"/>
          <w:szCs w:val="24"/>
        </w:rPr>
        <w:t xml:space="preserve"> aspetto squisitamente politico di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Come ho anticipato, gli argomenti che Socrate mette in campo per contrastare il suo interlocutore fanno dapprima un generico riferimento ad </w:t>
      </w:r>
      <w:proofErr w:type="spellStart"/>
      <w:r w:rsidRPr="00016017">
        <w:rPr>
          <w:rStyle w:val="A5"/>
          <w:rFonts w:ascii="Palatino" w:hAnsi="Palatino"/>
          <w:i/>
          <w:iCs/>
          <w:sz w:val="24"/>
          <w:szCs w:val="24"/>
        </w:rPr>
        <w:t>archontes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e </w:t>
      </w:r>
      <w:proofErr w:type="spellStart"/>
      <w:r w:rsidRPr="00016017">
        <w:rPr>
          <w:rStyle w:val="A5"/>
          <w:rFonts w:ascii="Palatino" w:hAnsi="Palatino"/>
          <w:i/>
          <w:iCs/>
          <w:sz w:val="24"/>
          <w:szCs w:val="24"/>
        </w:rPr>
        <w:t>archomenoi</w:t>
      </w:r>
      <w:proofErr w:type="spellEnd"/>
      <w:r w:rsidRPr="00016017">
        <w:rPr>
          <w:rStyle w:val="A5"/>
          <w:rFonts w:ascii="Palatino" w:hAnsi="Palatino"/>
          <w:sz w:val="24"/>
          <w:szCs w:val="24"/>
        </w:rPr>
        <w:t xml:space="preserve">, </w:t>
      </w:r>
      <w:proofErr w:type="gramStart"/>
      <w:r w:rsidRPr="00016017">
        <w:rPr>
          <w:rStyle w:val="A5"/>
          <w:rFonts w:ascii="Palatino" w:hAnsi="Palatino"/>
          <w:sz w:val="24"/>
          <w:szCs w:val="24"/>
        </w:rPr>
        <w:t>dato che</w:t>
      </w:r>
      <w:proofErr w:type="gramEnd"/>
      <w:r w:rsidRPr="00016017">
        <w:rPr>
          <w:rStyle w:val="A5"/>
          <w:rFonts w:ascii="Palatino" w:hAnsi="Palatino"/>
          <w:sz w:val="24"/>
          <w:szCs w:val="24"/>
        </w:rPr>
        <w:t xml:space="preserve"> a Socrate interessa infatti mettere in rilievo la contraddizione logica derivante dall’ammissione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che gli </w:t>
      </w:r>
      <w:proofErr w:type="spellStart"/>
      <w:r w:rsidRPr="00016017">
        <w:rPr>
          <w:rStyle w:val="A5"/>
          <w:rFonts w:ascii="Palatino" w:hAnsi="Palatino"/>
          <w:i/>
          <w:iCs/>
          <w:sz w:val="24"/>
          <w:szCs w:val="24"/>
        </w:rPr>
        <w:t>archontes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possono sbagliare se e quando prescrivano ciò che non è loro utile (339 d). In una seconda fase Socrate ricorre al paragone con il medico e il capitano della nave per dimostrare che anche il governante persegue l’utile dei governati (342 c). Ciò conduce quasi inevitabilmente a identificare gli </w:t>
      </w:r>
      <w:proofErr w:type="spellStart"/>
      <w:r w:rsidRPr="00016017">
        <w:rPr>
          <w:rStyle w:val="A5"/>
          <w:rFonts w:ascii="Palatino" w:hAnsi="Palatino"/>
          <w:i/>
          <w:iCs/>
          <w:sz w:val="24"/>
          <w:szCs w:val="24"/>
        </w:rPr>
        <w:t>archontes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con i governanti in senso stretto, ossia con la ristretta élite che ricopre le magistrature supreme in qualsiasi tipo di regime. Tuttavia, se teniamo presente che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ha incluso anche l’oligarchia e la democrazia fra i regimi che attuano una giustizia “politica”, dovrebbe </w:t>
      </w:r>
      <w:proofErr w:type="gramStart"/>
      <w:r w:rsidRPr="00016017">
        <w:rPr>
          <w:rStyle w:val="A5"/>
          <w:rFonts w:ascii="Palatino" w:hAnsi="Palatino"/>
          <w:sz w:val="24"/>
          <w:szCs w:val="24"/>
        </w:rPr>
        <w:t>risultare</w:t>
      </w:r>
      <w:proofErr w:type="gramEnd"/>
      <w:r w:rsidRPr="00016017">
        <w:rPr>
          <w:rStyle w:val="A5"/>
          <w:rFonts w:ascii="Palatino" w:hAnsi="Palatino"/>
          <w:sz w:val="24"/>
          <w:szCs w:val="24"/>
        </w:rPr>
        <w:t xml:space="preserve"> chiaro che, tanto nei regimi oligarchici quanto, a maggior ragione, nei regimi democratici, gli </w:t>
      </w:r>
      <w:proofErr w:type="spellStart"/>
      <w:r w:rsidRPr="00016017">
        <w:rPr>
          <w:rStyle w:val="A5"/>
          <w:rFonts w:ascii="Palatino" w:hAnsi="Palatino"/>
          <w:i/>
          <w:iCs/>
          <w:sz w:val="24"/>
          <w:szCs w:val="24"/>
        </w:rPr>
        <w:t>archontes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non si identificano soltanto con i magistrati bensì includono l’intera componente della cittadinanza che detiene il potere.</w:t>
      </w:r>
      <w:r w:rsidRPr="00016017">
        <w:rPr>
          <w:rStyle w:val="Rimandonotaapidipagina"/>
          <w:rFonts w:ascii="Palatino" w:hAnsi="Palatino" w:cs="HelveticaNeueLT Std Lt"/>
          <w:color w:val="221E1F"/>
        </w:rPr>
        <w:footnoteReference w:id="6"/>
      </w:r>
      <w:r w:rsidRPr="00016017">
        <w:rPr>
          <w:rStyle w:val="A5"/>
          <w:rFonts w:ascii="Palatino" w:hAnsi="Palatino"/>
          <w:sz w:val="24"/>
          <w:szCs w:val="24"/>
        </w:rPr>
        <w:t xml:space="preserve"> Quanto alla giustizia “civile”, gli esempi con cui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illustra </w:t>
      </w:r>
      <w:proofErr w:type="spellStart"/>
      <w:r w:rsidRPr="00016017">
        <w:rPr>
          <w:rStyle w:val="A5"/>
          <w:rFonts w:ascii="Palatino" w:hAnsi="Palatino"/>
          <w:i/>
          <w:iCs/>
          <w:sz w:val="24"/>
          <w:szCs w:val="24"/>
        </w:rPr>
        <w:t>Tb</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sono riferiti appunto, da un lato, ai rapporti obbligatori di natura privata</w:t>
      </w:r>
      <w:proofErr w:type="gramStart"/>
      <w:r w:rsidRPr="00016017">
        <w:rPr>
          <w:rStyle w:val="A5"/>
          <w:rFonts w:ascii="Palatino" w:hAnsi="Palatino"/>
          <w:sz w:val="24"/>
          <w:szCs w:val="24"/>
        </w:rPr>
        <w:t>,</w:t>
      </w:r>
      <w:proofErr w:type="gramEnd"/>
      <w:r w:rsidRPr="00016017">
        <w:rPr>
          <w:rStyle w:val="Rimandonotaapidipagina"/>
          <w:rFonts w:ascii="Palatino" w:hAnsi="Palatino" w:cs="HelveticaNeueLT Std Lt"/>
          <w:color w:val="221E1F"/>
        </w:rPr>
        <w:footnoteReference w:id="7"/>
      </w:r>
      <w:r w:rsidRPr="00016017">
        <w:rPr>
          <w:rStyle w:val="A5"/>
          <w:rFonts w:ascii="Palatino" w:hAnsi="Palatino"/>
          <w:sz w:val="24"/>
          <w:szCs w:val="24"/>
        </w:rPr>
        <w:t xml:space="preserve"> </w:t>
      </w:r>
      <w:proofErr w:type="gramStart"/>
      <w:r w:rsidRPr="00016017">
        <w:rPr>
          <w:rStyle w:val="A5"/>
          <w:rFonts w:ascii="Palatino" w:hAnsi="Palatino"/>
          <w:sz w:val="24"/>
          <w:szCs w:val="24"/>
        </w:rPr>
        <w:t>e</w:t>
      </w:r>
      <w:proofErr w:type="gramEnd"/>
      <w:r w:rsidRPr="00016017">
        <w:rPr>
          <w:rStyle w:val="A5"/>
          <w:rFonts w:ascii="Palatino" w:hAnsi="Palatino"/>
          <w:sz w:val="24"/>
          <w:szCs w:val="24"/>
        </w:rPr>
        <w:t>, dall’altro, ai rapporti con la città (</w:t>
      </w:r>
      <w:r w:rsidRPr="00016017">
        <w:rPr>
          <w:rStyle w:val="A5"/>
          <w:rFonts w:ascii="Palatino" w:hAnsi="Palatino"/>
          <w:i/>
          <w:iCs/>
          <w:sz w:val="24"/>
          <w:szCs w:val="24"/>
        </w:rPr>
        <w:t xml:space="preserve">en </w:t>
      </w:r>
      <w:proofErr w:type="spellStart"/>
      <w:r w:rsidRPr="00016017">
        <w:rPr>
          <w:rStyle w:val="A5"/>
          <w:rFonts w:ascii="Palatino" w:hAnsi="Palatino"/>
          <w:i/>
          <w:iCs/>
          <w:sz w:val="24"/>
          <w:szCs w:val="24"/>
        </w:rPr>
        <w:t>tois</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pros</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ten</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polin</w:t>
      </w:r>
      <w:proofErr w:type="spellEnd"/>
      <w:r w:rsidRPr="00016017">
        <w:rPr>
          <w:rStyle w:val="A5"/>
          <w:rFonts w:ascii="Palatino" w:hAnsi="Palatino"/>
          <w:sz w:val="24"/>
          <w:szCs w:val="24"/>
        </w:rPr>
        <w:t xml:space="preserve">: 343 d): in entrambi i casi si tratta quindi di situazioni e di comportamenti che prescindono dalla natura del regime politico in cui si verificano. </w:t>
      </w:r>
    </w:p>
    <w:p w:rsidR="00016017" w:rsidRPr="00016017" w:rsidRDefault="00016017" w:rsidP="00016017">
      <w:pPr>
        <w:pStyle w:val="Pa20"/>
        <w:jc w:val="both"/>
        <w:rPr>
          <w:rFonts w:ascii="Palatino" w:hAnsi="Palatino" w:cs="HelveticaNeueLT Std Lt"/>
          <w:color w:val="221E1F"/>
        </w:rPr>
      </w:pPr>
      <w:r w:rsidRPr="00016017">
        <w:rPr>
          <w:rStyle w:val="A5"/>
          <w:rFonts w:ascii="Palatino" w:hAnsi="Palatino"/>
          <w:sz w:val="24"/>
          <w:szCs w:val="24"/>
        </w:rPr>
        <w:t xml:space="preserve">Nell’esposizione di Platone i due ambiti di applicazione della giustizia/ingiustizia, che ritengo si possano identificare nel discorso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tendono però a confondersi e a sovrapporsi, perché, così </w:t>
      </w:r>
      <w:proofErr w:type="gramStart"/>
      <w:r w:rsidRPr="00016017">
        <w:rPr>
          <w:rStyle w:val="A5"/>
          <w:rFonts w:ascii="Palatino" w:hAnsi="Palatino"/>
          <w:sz w:val="24"/>
          <w:szCs w:val="24"/>
        </w:rPr>
        <w:t xml:space="preserve">come </w:t>
      </w:r>
      <w:proofErr w:type="gramEnd"/>
      <w:r w:rsidRPr="00016017">
        <w:rPr>
          <w:rStyle w:val="A5"/>
          <w:rFonts w:ascii="Palatino" w:hAnsi="Palatino"/>
          <w:sz w:val="24"/>
          <w:szCs w:val="24"/>
        </w:rPr>
        <w:t xml:space="preserve">era accaduto per </w:t>
      </w:r>
      <w:proofErr w:type="spellStart"/>
      <w:r w:rsidRPr="00016017">
        <w:rPr>
          <w:rStyle w:val="A5"/>
          <w:rFonts w:ascii="Palatino" w:hAnsi="Palatino"/>
          <w:i/>
          <w:iCs/>
          <w:sz w:val="24"/>
          <w:szCs w:val="24"/>
        </w:rPr>
        <w:t>Ta</w:t>
      </w:r>
      <w:proofErr w:type="spellEnd"/>
      <w:r w:rsidRPr="00016017">
        <w:rPr>
          <w:rStyle w:val="A5"/>
          <w:rFonts w:ascii="Palatino" w:hAnsi="Palatino"/>
          <w:sz w:val="24"/>
          <w:szCs w:val="24"/>
        </w:rPr>
        <w:t xml:space="preserve">, anche con riferimento a </w:t>
      </w:r>
      <w:proofErr w:type="spellStart"/>
      <w:r w:rsidRPr="00016017">
        <w:rPr>
          <w:rStyle w:val="A5"/>
          <w:rFonts w:ascii="Palatino" w:hAnsi="Palatino"/>
          <w:i/>
          <w:iCs/>
          <w:sz w:val="24"/>
          <w:szCs w:val="24"/>
        </w:rPr>
        <w:t>Tb</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le argomentazioni di Socrate non entrano nel merito dei contenuti esposti da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La </w:t>
      </w:r>
      <w:r w:rsidRPr="00016017">
        <w:rPr>
          <w:rStyle w:val="A5"/>
          <w:rFonts w:ascii="Palatino" w:hAnsi="Palatino"/>
          <w:i/>
          <w:iCs/>
          <w:sz w:val="24"/>
          <w:szCs w:val="24"/>
        </w:rPr>
        <w:t xml:space="preserve">Politica </w:t>
      </w:r>
      <w:r w:rsidRPr="00016017">
        <w:rPr>
          <w:rStyle w:val="A5"/>
          <w:rFonts w:ascii="Palatino" w:hAnsi="Palatino"/>
          <w:sz w:val="24"/>
          <w:szCs w:val="24"/>
        </w:rPr>
        <w:t xml:space="preserve">di Aristotele consente forse di mettere meglio a fuoco sia le posizioni sostenute da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sia la critica </w:t>
      </w:r>
      <w:proofErr w:type="gramStart"/>
      <w:r w:rsidRPr="00016017">
        <w:rPr>
          <w:rStyle w:val="A5"/>
          <w:rFonts w:ascii="Palatino" w:hAnsi="Palatino"/>
          <w:sz w:val="24"/>
          <w:szCs w:val="24"/>
        </w:rPr>
        <w:t>che</w:t>
      </w:r>
      <w:proofErr w:type="gramEnd"/>
      <w:r w:rsidRPr="00016017">
        <w:rPr>
          <w:rStyle w:val="A5"/>
          <w:rFonts w:ascii="Palatino" w:hAnsi="Palatino"/>
          <w:sz w:val="24"/>
          <w:szCs w:val="24"/>
        </w:rPr>
        <w:t xml:space="preserve"> di esse svolge Platone. Infatti, benché Aristotele non citi mai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ritengo che alcuni tratti distintivi della sua indagine sulle costituzioni si possano considerare direttamente ispirati dal dibattito della </w:t>
      </w:r>
      <w:r w:rsidRPr="00016017">
        <w:rPr>
          <w:rStyle w:val="A5"/>
          <w:rFonts w:ascii="Palatino" w:hAnsi="Palatino"/>
          <w:i/>
          <w:iCs/>
          <w:sz w:val="24"/>
          <w:szCs w:val="24"/>
        </w:rPr>
        <w:t xml:space="preserve">Repubblica </w:t>
      </w:r>
      <w:r w:rsidRPr="00016017">
        <w:rPr>
          <w:rStyle w:val="A5"/>
          <w:rFonts w:ascii="Palatino" w:hAnsi="Palatino"/>
          <w:sz w:val="24"/>
          <w:szCs w:val="24"/>
        </w:rPr>
        <w:t xml:space="preserve">fra Socrate 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w:t>
      </w:r>
      <w:r w:rsidRPr="00016017">
        <w:rPr>
          <w:rStyle w:val="Rimandonotaapidipagina"/>
          <w:rFonts w:ascii="Palatino" w:hAnsi="Palatino" w:cs="HelveticaNeueLT Std Lt"/>
          <w:color w:val="221E1F"/>
        </w:rPr>
        <w:footnoteReference w:id="8"/>
      </w:r>
      <w:r w:rsidRPr="00016017">
        <w:rPr>
          <w:rStyle w:val="A5"/>
          <w:rFonts w:ascii="Palatino" w:hAnsi="Palatino"/>
          <w:sz w:val="24"/>
          <w:szCs w:val="24"/>
        </w:rPr>
        <w:t xml:space="preserve"> Prima di tutto va osservato che per Aristotele ogni regime politico emana una legislazione adeguata alle caratteristiche e allo scopo che lo contraddistinguono. Non solo, ma Aristotele </w:t>
      </w:r>
      <w:proofErr w:type="gramStart"/>
      <w:r w:rsidRPr="00016017">
        <w:rPr>
          <w:rStyle w:val="A5"/>
          <w:rFonts w:ascii="Palatino" w:hAnsi="Palatino"/>
          <w:sz w:val="24"/>
          <w:szCs w:val="24"/>
        </w:rPr>
        <w:t>sottolinea</w:t>
      </w:r>
      <w:proofErr w:type="gramEnd"/>
      <w:r w:rsidRPr="00016017">
        <w:rPr>
          <w:rStyle w:val="A5"/>
          <w:rFonts w:ascii="Palatino" w:hAnsi="Palatino"/>
          <w:sz w:val="24"/>
          <w:szCs w:val="24"/>
        </w:rPr>
        <w:t xml:space="preserve"> che la solidità del regime, riferendosi in particolare a oligarchia e democrazia, dipende soprattutto dalla partecipazione attiva e consapevole alla cosa pubblica dei cittadini di pieno diritto. Di qui la distinzione fra il buon cittadino, che pensa e agisce in modo consono al regime in cui vive, e l’</w:t>
      </w:r>
      <w:proofErr w:type="spellStart"/>
      <w:r w:rsidRPr="00016017">
        <w:rPr>
          <w:rStyle w:val="A5"/>
          <w:rFonts w:ascii="Palatino" w:hAnsi="Palatino"/>
          <w:i/>
          <w:iCs/>
          <w:sz w:val="24"/>
          <w:szCs w:val="24"/>
        </w:rPr>
        <w:t>aner</w:t>
      </w:r>
      <w:proofErr w:type="spellEnd"/>
      <w:r w:rsidRPr="00016017">
        <w:rPr>
          <w:rStyle w:val="A5"/>
          <w:rFonts w:ascii="Palatino" w:hAnsi="Palatino"/>
          <w:i/>
          <w:iCs/>
          <w:sz w:val="24"/>
          <w:szCs w:val="24"/>
        </w:rPr>
        <w:t xml:space="preserve"> </w:t>
      </w:r>
      <w:proofErr w:type="spellStart"/>
      <w:r w:rsidRPr="00016017">
        <w:rPr>
          <w:rStyle w:val="A5"/>
          <w:rFonts w:ascii="Palatino" w:hAnsi="Palatino"/>
          <w:i/>
          <w:iCs/>
          <w:sz w:val="24"/>
          <w:szCs w:val="24"/>
        </w:rPr>
        <w:t>agathos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che conforma </w:t>
      </w:r>
      <w:proofErr w:type="gramStart"/>
      <w:r w:rsidRPr="00016017">
        <w:rPr>
          <w:rStyle w:val="A5"/>
          <w:rFonts w:ascii="Palatino" w:hAnsi="Palatino"/>
          <w:sz w:val="24"/>
          <w:szCs w:val="24"/>
        </w:rPr>
        <w:t>il</w:t>
      </w:r>
      <w:proofErr w:type="gramEnd"/>
      <w:r w:rsidRPr="00016017">
        <w:rPr>
          <w:rStyle w:val="A5"/>
          <w:rFonts w:ascii="Palatino" w:hAnsi="Palatino"/>
          <w:sz w:val="24"/>
          <w:szCs w:val="24"/>
        </w:rPr>
        <w:t xml:space="preserve"> suo agire ai dettami della giustizia intesa come virtù perfetta.</w:t>
      </w:r>
      <w:r w:rsidRPr="00016017">
        <w:rPr>
          <w:rStyle w:val="Rimandonotaapidipagina"/>
          <w:rFonts w:ascii="Palatino" w:hAnsi="Palatino" w:cs="HelveticaNeueLT Std Lt"/>
          <w:color w:val="221E1F"/>
        </w:rPr>
        <w:footnoteReference w:id="9"/>
      </w:r>
      <w:r w:rsidRPr="00016017">
        <w:rPr>
          <w:rStyle w:val="A5"/>
          <w:rFonts w:ascii="Palatino" w:hAnsi="Palatino"/>
          <w:sz w:val="24"/>
          <w:szCs w:val="24"/>
        </w:rPr>
        <w:t xml:space="preserve"> Ora, per quanto riguarda le legislazioni, in uno dei suoi ultimi lavori</w:t>
      </w:r>
      <w:r w:rsidRPr="00016017">
        <w:rPr>
          <w:rStyle w:val="Rimandonotaapidipagina"/>
          <w:rFonts w:ascii="Palatino" w:hAnsi="Palatino" w:cs="HelveticaNeueLT Std Lt"/>
          <w:color w:val="221E1F"/>
        </w:rPr>
        <w:footnoteReference w:id="10"/>
      </w:r>
      <w:r w:rsidRPr="00016017">
        <w:rPr>
          <w:rStyle w:val="A5"/>
          <w:rFonts w:ascii="Palatino" w:hAnsi="Palatino"/>
          <w:sz w:val="24"/>
          <w:szCs w:val="24"/>
        </w:rPr>
        <w:t xml:space="preserve"> </w:t>
      </w:r>
      <w:proofErr w:type="spellStart"/>
      <w:r w:rsidRPr="00016017">
        <w:rPr>
          <w:rStyle w:val="A5"/>
          <w:rFonts w:ascii="Palatino" w:hAnsi="Palatino"/>
          <w:sz w:val="24"/>
          <w:szCs w:val="24"/>
        </w:rPr>
        <w:t>Vegetti</w:t>
      </w:r>
      <w:proofErr w:type="spellEnd"/>
      <w:r w:rsidRPr="00016017">
        <w:rPr>
          <w:rStyle w:val="A5"/>
          <w:rFonts w:ascii="Palatino" w:hAnsi="Palatino"/>
          <w:sz w:val="24"/>
          <w:szCs w:val="24"/>
        </w:rPr>
        <w:t xml:space="preserve"> ha </w:t>
      </w:r>
      <w:proofErr w:type="gramStart"/>
      <w:r w:rsidRPr="00016017">
        <w:rPr>
          <w:rStyle w:val="A5"/>
          <w:rFonts w:ascii="Palatino" w:hAnsi="Palatino"/>
          <w:sz w:val="24"/>
          <w:szCs w:val="24"/>
        </w:rPr>
        <w:t>sottolineato</w:t>
      </w:r>
      <w:proofErr w:type="gramEnd"/>
      <w:r w:rsidRPr="00016017">
        <w:rPr>
          <w:rStyle w:val="A5"/>
          <w:rFonts w:ascii="Palatino" w:hAnsi="Palatino"/>
          <w:sz w:val="24"/>
          <w:szCs w:val="24"/>
        </w:rPr>
        <w:t xml:space="preserve"> che, per Aristotele, tutte le legislazioni vigenti nei regimi attualmente esistenti devono essere considerate ingiuste (</w:t>
      </w:r>
      <w:proofErr w:type="spellStart"/>
      <w:r w:rsidRPr="00016017">
        <w:rPr>
          <w:rStyle w:val="A5"/>
          <w:rFonts w:ascii="Palatino" w:hAnsi="Palatino"/>
          <w:sz w:val="24"/>
          <w:szCs w:val="24"/>
        </w:rPr>
        <w:t>Arist</w:t>
      </w:r>
      <w:proofErr w:type="spellEnd"/>
      <w:r w:rsidRPr="00016017">
        <w:rPr>
          <w:rStyle w:val="A5"/>
          <w:rFonts w:ascii="Palatino" w:hAnsi="Palatino"/>
          <w:sz w:val="24"/>
          <w:szCs w:val="24"/>
        </w:rPr>
        <w:t xml:space="preserve">. </w:t>
      </w:r>
      <w:proofErr w:type="spellStart"/>
      <w:r w:rsidRPr="00016017">
        <w:rPr>
          <w:rStyle w:val="A5"/>
          <w:rFonts w:ascii="Palatino" w:hAnsi="Palatino"/>
          <w:i/>
          <w:iCs/>
          <w:sz w:val="24"/>
          <w:szCs w:val="24"/>
        </w:rPr>
        <w:t>Pol</w:t>
      </w:r>
      <w:proofErr w:type="spellEnd"/>
      <w:r w:rsidRPr="00016017">
        <w:rPr>
          <w:rStyle w:val="A5"/>
          <w:rFonts w:ascii="Palatino" w:hAnsi="Palatino"/>
          <w:sz w:val="24"/>
          <w:szCs w:val="24"/>
        </w:rPr>
        <w:t xml:space="preserve">. 1282 b 8-13) </w:t>
      </w:r>
      <w:proofErr w:type="gramStart"/>
      <w:r w:rsidRPr="00016017">
        <w:rPr>
          <w:rStyle w:val="A5"/>
          <w:rFonts w:ascii="Palatino" w:hAnsi="Palatino"/>
          <w:sz w:val="24"/>
          <w:szCs w:val="24"/>
        </w:rPr>
        <w:t>in quanto</w:t>
      </w:r>
      <w:proofErr w:type="gramEnd"/>
      <w:r w:rsidRPr="00016017">
        <w:rPr>
          <w:rStyle w:val="A5"/>
          <w:rFonts w:ascii="Palatino" w:hAnsi="Palatino"/>
          <w:sz w:val="24"/>
          <w:szCs w:val="24"/>
        </w:rPr>
        <w:t xml:space="preserve"> non perseguono il bene comune. Ciò implica che favoriscano l’elemento dominante in perfetta corrispondenza con la prima tesi (</w:t>
      </w:r>
      <w:proofErr w:type="spellStart"/>
      <w:r w:rsidRPr="00016017">
        <w:rPr>
          <w:rStyle w:val="A5"/>
          <w:rFonts w:ascii="Palatino" w:hAnsi="Palatino"/>
          <w:i/>
          <w:sz w:val="24"/>
          <w:szCs w:val="24"/>
        </w:rPr>
        <w:t>Ta</w:t>
      </w:r>
      <w:proofErr w:type="spellEnd"/>
      <w:r w:rsidRPr="00016017">
        <w:rPr>
          <w:rStyle w:val="A5"/>
          <w:rFonts w:ascii="Palatino" w:hAnsi="Palatino"/>
          <w:sz w:val="24"/>
          <w:szCs w:val="24"/>
        </w:rPr>
        <w:t xml:space="preserve">)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dunque chi vuol essere “buon cittadino” non può evitare di praticare l’ingiustizia “politica” nei confronti di quella </w:t>
      </w:r>
      <w:proofErr w:type="gramStart"/>
      <w:r w:rsidRPr="00016017">
        <w:rPr>
          <w:rStyle w:val="A5"/>
          <w:rFonts w:ascii="Palatino" w:hAnsi="Palatino"/>
          <w:sz w:val="24"/>
          <w:szCs w:val="24"/>
        </w:rPr>
        <w:t>componente</w:t>
      </w:r>
      <w:proofErr w:type="gramEnd"/>
      <w:r w:rsidRPr="00016017">
        <w:rPr>
          <w:rStyle w:val="A5"/>
          <w:rFonts w:ascii="Palatino" w:hAnsi="Palatino"/>
          <w:sz w:val="24"/>
          <w:szCs w:val="24"/>
        </w:rPr>
        <w:t xml:space="preserve">, libera e formalmente inclusa </w:t>
      </w:r>
      <w:r w:rsidRPr="00016017">
        <w:rPr>
          <w:rStyle w:val="A5"/>
          <w:rFonts w:ascii="Palatino" w:hAnsi="Palatino"/>
          <w:sz w:val="24"/>
          <w:szCs w:val="24"/>
        </w:rPr>
        <w:lastRenderedPageBreak/>
        <w:t xml:space="preserve">nella cittadinanza, della popolazione che è esclusa, o si autoesclude, dalla gestione del potere. Aristotele scioglie così l’ambiguità insita nelle nozioni di “più forte” e di “chi comanda” che </w:t>
      </w:r>
      <w:proofErr w:type="gramStart"/>
      <w:r w:rsidRPr="00016017">
        <w:rPr>
          <w:rStyle w:val="A5"/>
          <w:rFonts w:ascii="Palatino" w:hAnsi="Palatino"/>
          <w:sz w:val="24"/>
          <w:szCs w:val="24"/>
        </w:rPr>
        <w:t>si riscontra</w:t>
      </w:r>
      <w:proofErr w:type="gramEnd"/>
      <w:r w:rsidRPr="00016017">
        <w:rPr>
          <w:rStyle w:val="A5"/>
          <w:rFonts w:ascii="Palatino" w:hAnsi="Palatino"/>
          <w:sz w:val="24"/>
          <w:szCs w:val="24"/>
        </w:rPr>
        <w:t xml:space="preserve"> nella discussione di </w:t>
      </w:r>
      <w:proofErr w:type="spellStart"/>
      <w:r w:rsidRPr="00016017">
        <w:rPr>
          <w:rStyle w:val="A5"/>
          <w:rFonts w:ascii="Palatino" w:hAnsi="Palatino"/>
          <w:i/>
          <w:sz w:val="24"/>
          <w:szCs w:val="24"/>
        </w:rPr>
        <w:t>Ta</w:t>
      </w:r>
      <w:proofErr w:type="spellEnd"/>
      <w:r w:rsidRPr="00016017">
        <w:rPr>
          <w:rStyle w:val="A5"/>
          <w:rFonts w:ascii="Palatino" w:hAnsi="Palatino"/>
          <w:sz w:val="24"/>
          <w:szCs w:val="24"/>
        </w:rPr>
        <w:t xml:space="preserve"> fra Socrate 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A mio parere nel confronto fra Socrate e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c’è anche un altro elemento che trova riscontro nella </w:t>
      </w:r>
      <w:r w:rsidRPr="00016017">
        <w:rPr>
          <w:rStyle w:val="A5"/>
          <w:rFonts w:ascii="Palatino" w:hAnsi="Palatino"/>
          <w:i/>
          <w:sz w:val="24"/>
          <w:szCs w:val="24"/>
        </w:rPr>
        <w:t>Politica</w:t>
      </w:r>
      <w:r w:rsidRPr="00016017">
        <w:rPr>
          <w:rStyle w:val="A5"/>
          <w:rFonts w:ascii="Palatino" w:hAnsi="Palatino"/>
          <w:sz w:val="24"/>
          <w:szCs w:val="24"/>
        </w:rPr>
        <w:t xml:space="preserve"> aristotelica. </w:t>
      </w:r>
      <w:proofErr w:type="gramStart"/>
      <w:r w:rsidRPr="00016017">
        <w:rPr>
          <w:rStyle w:val="A5"/>
          <w:rFonts w:ascii="Palatino" w:hAnsi="Palatino"/>
          <w:sz w:val="24"/>
          <w:szCs w:val="24"/>
        </w:rPr>
        <w:t>A partire da</w:t>
      </w:r>
      <w:proofErr w:type="gramEnd"/>
      <w:r w:rsidRPr="00016017">
        <w:rPr>
          <w:rStyle w:val="A5"/>
          <w:rFonts w:ascii="Palatino" w:hAnsi="Palatino"/>
          <w:sz w:val="24"/>
          <w:szCs w:val="24"/>
        </w:rPr>
        <w:t xml:space="preserve"> 351c inizia una sezione della confutazione socratica in cui Socrate ritorna alla dimensione politica chiedendo 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“Ti pare che una città o un esercito o dei briganti o ladri […] che si propongano in comune qualche impresa ingiusta, possano combinare qualcosa se si fanno ingiustizia gli uni con gli altri?” (</w:t>
      </w:r>
      <w:proofErr w:type="spellStart"/>
      <w:r w:rsidRPr="00016017">
        <w:rPr>
          <w:rStyle w:val="A5"/>
          <w:rFonts w:ascii="Palatino" w:hAnsi="Palatino"/>
          <w:sz w:val="24"/>
          <w:szCs w:val="24"/>
        </w:rPr>
        <w:t>trad</w:t>
      </w:r>
      <w:proofErr w:type="spellEnd"/>
      <w:r w:rsidRPr="00016017">
        <w:rPr>
          <w:rStyle w:val="A5"/>
          <w:rFonts w:ascii="Palatino" w:hAnsi="Palatino"/>
          <w:sz w:val="24"/>
          <w:szCs w:val="24"/>
        </w:rPr>
        <w:t xml:space="preserve">. </w:t>
      </w:r>
      <w:proofErr w:type="spellStart"/>
      <w:r w:rsidRPr="00016017">
        <w:rPr>
          <w:rStyle w:val="A5"/>
          <w:rFonts w:ascii="Palatino" w:hAnsi="Palatino"/>
          <w:sz w:val="24"/>
          <w:szCs w:val="24"/>
        </w:rPr>
        <w:t>Gabrieli</w:t>
      </w:r>
      <w:proofErr w:type="spellEnd"/>
      <w:r w:rsidRPr="00016017">
        <w:rPr>
          <w:rStyle w:val="A5"/>
          <w:rFonts w:ascii="Palatino" w:hAnsi="Palatino"/>
          <w:sz w:val="24"/>
          <w:szCs w:val="24"/>
        </w:rPr>
        <w:t xml:space="preserve">). La risposta è negativa, perché, se così fosse, ne nascerebbero odio, scontri e in definitiva la </w:t>
      </w:r>
      <w:proofErr w:type="spellStart"/>
      <w:r w:rsidRPr="00016017">
        <w:rPr>
          <w:rStyle w:val="A5"/>
          <w:rFonts w:ascii="Palatino" w:hAnsi="Palatino"/>
          <w:i/>
          <w:iCs/>
          <w:sz w:val="24"/>
          <w:szCs w:val="24"/>
        </w:rPr>
        <w:t>stasis</w:t>
      </w:r>
      <w:proofErr w:type="spellEnd"/>
      <w:r w:rsidRPr="00016017">
        <w:rPr>
          <w:rStyle w:val="A5"/>
          <w:rFonts w:ascii="Palatino" w:hAnsi="Palatino"/>
          <w:sz w:val="24"/>
          <w:szCs w:val="24"/>
        </w:rPr>
        <w:t xml:space="preserve">, la guerra civile (351 d). Di conseguenza ottiene (implicitamente) l’adesione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all’affermazione che, quando gli ingiusti hanno intrapreso un’azione comune, non possono aver praticato un’ingiustizia assoluta, ma hanno dovuto trattenersi e accondiscendere reciprocamente a una certa dose di giustizia. Con riferimento alla città, ciò si deve intendere riferito non solo ai rapporti fra </w:t>
      </w:r>
      <w:proofErr w:type="gramStart"/>
      <w:r w:rsidRPr="00016017">
        <w:rPr>
          <w:rStyle w:val="A5"/>
          <w:rFonts w:ascii="Palatino" w:hAnsi="Palatino"/>
          <w:sz w:val="24"/>
          <w:szCs w:val="24"/>
        </w:rPr>
        <w:t>coloro che esercitano</w:t>
      </w:r>
      <w:proofErr w:type="gramEnd"/>
      <w:r w:rsidRPr="00016017">
        <w:rPr>
          <w:rStyle w:val="A5"/>
          <w:rFonts w:ascii="Palatino" w:hAnsi="Palatino"/>
          <w:sz w:val="24"/>
          <w:szCs w:val="24"/>
        </w:rPr>
        <w:t xml:space="preserve"> il potere, ma anche nei confronti di coloro che ne sono esclusi, dato che, se così non fosse, non si potrebbe parlare di un’iniziativa di una città. Aristotele riprenderà questo spunto platonico trasfor</w:t>
      </w:r>
      <w:r w:rsidRPr="00016017">
        <w:rPr>
          <w:rStyle w:val="A5"/>
          <w:rFonts w:ascii="Palatino" w:hAnsi="Palatino"/>
          <w:sz w:val="24"/>
          <w:szCs w:val="24"/>
        </w:rPr>
        <w:softHyphen/>
        <w:t xml:space="preserve">mandolo nella proposta di accorgimenti </w:t>
      </w:r>
      <w:proofErr w:type="gramStart"/>
      <w:r w:rsidRPr="00016017">
        <w:rPr>
          <w:rStyle w:val="A5"/>
          <w:rFonts w:ascii="Palatino" w:hAnsi="Palatino"/>
          <w:sz w:val="24"/>
          <w:szCs w:val="24"/>
        </w:rPr>
        <w:t xml:space="preserve">di </w:t>
      </w:r>
      <w:proofErr w:type="gramEnd"/>
      <w:r w:rsidRPr="00016017">
        <w:rPr>
          <w:rStyle w:val="A5"/>
          <w:rFonts w:ascii="Palatino" w:hAnsi="Palatino"/>
          <w:sz w:val="24"/>
          <w:szCs w:val="24"/>
        </w:rPr>
        <w:t>ingegneria costituzionale per evitare che un regime (come sappiamo, di per sé ingiusto) accentui i suoi caratteri distintivi fino a provocare una rottura insanabile al suo interno con conseguente rovina del regime stesso (</w:t>
      </w:r>
      <w:proofErr w:type="spellStart"/>
      <w:r w:rsidRPr="00016017">
        <w:rPr>
          <w:rStyle w:val="A5"/>
          <w:rFonts w:ascii="Palatino" w:hAnsi="Palatino"/>
          <w:i/>
          <w:iCs/>
          <w:sz w:val="24"/>
          <w:szCs w:val="24"/>
        </w:rPr>
        <w:t>Pol</w:t>
      </w:r>
      <w:proofErr w:type="spellEnd"/>
      <w:r w:rsidRPr="00016017">
        <w:rPr>
          <w:rStyle w:val="A5"/>
          <w:rFonts w:ascii="Palatino" w:hAnsi="Palatino"/>
          <w:sz w:val="24"/>
          <w:szCs w:val="24"/>
        </w:rPr>
        <w:t>. 1298b con particolare riferimento agli organi deliberativi, su cui v. Maffi 2016</w:t>
      </w:r>
      <w:proofErr w:type="gramStart"/>
      <w:r w:rsidRPr="00016017">
        <w:rPr>
          <w:rStyle w:val="A5"/>
          <w:rFonts w:ascii="Palatino" w:hAnsi="Palatino"/>
          <w:sz w:val="24"/>
          <w:szCs w:val="24"/>
        </w:rPr>
        <w:t>).</w:t>
      </w:r>
      <w:proofErr w:type="gramEnd"/>
      <w:r w:rsidRPr="00016017">
        <w:rPr>
          <w:rStyle w:val="A5"/>
          <w:rFonts w:ascii="Palatino" w:hAnsi="Palatino"/>
          <w:sz w:val="24"/>
          <w:szCs w:val="24"/>
        </w:rPr>
        <w:t xml:space="preserve"> </w:t>
      </w:r>
    </w:p>
    <w:p w:rsidR="00016017" w:rsidRPr="00016017" w:rsidRDefault="00016017" w:rsidP="00016017">
      <w:pPr>
        <w:jc w:val="both"/>
        <w:rPr>
          <w:rFonts w:ascii="Palatino" w:hAnsi="Palatino"/>
        </w:rPr>
      </w:pPr>
      <w:r w:rsidRPr="00016017">
        <w:rPr>
          <w:rStyle w:val="A5"/>
          <w:rFonts w:ascii="Palatino" w:hAnsi="Palatino"/>
          <w:sz w:val="24"/>
          <w:szCs w:val="24"/>
        </w:rPr>
        <w:t>Per quanto riguarda la pratica della giustizia “civile”, questa discende dalla scelta personale di ciascuno, la quale dipenderà a sua volta soprattutto dall’educazione ricevuta.</w:t>
      </w:r>
      <w:r w:rsidRPr="00016017">
        <w:rPr>
          <w:rStyle w:val="Rimandonotaapidipagina"/>
          <w:rFonts w:ascii="Palatino" w:hAnsi="Palatino" w:cs="HelveticaNeueLT Std Lt"/>
          <w:color w:val="221E1F"/>
        </w:rPr>
        <w:footnoteReference w:id="11"/>
      </w:r>
      <w:r w:rsidRPr="00016017">
        <w:rPr>
          <w:rStyle w:val="A5"/>
          <w:rFonts w:ascii="Palatino" w:hAnsi="Palatino"/>
          <w:sz w:val="24"/>
          <w:szCs w:val="24"/>
        </w:rPr>
        <w:t xml:space="preserve"> Normalmente, a proposito della </w:t>
      </w:r>
      <w:r w:rsidRPr="00016017">
        <w:rPr>
          <w:rStyle w:val="A5"/>
          <w:rFonts w:ascii="Palatino" w:hAnsi="Palatino"/>
          <w:i/>
          <w:iCs/>
          <w:sz w:val="24"/>
          <w:szCs w:val="24"/>
        </w:rPr>
        <w:t xml:space="preserve">Politica </w:t>
      </w:r>
      <w:r w:rsidRPr="00016017">
        <w:rPr>
          <w:rStyle w:val="A5"/>
          <w:rFonts w:ascii="Palatino" w:hAnsi="Palatino"/>
          <w:sz w:val="24"/>
          <w:szCs w:val="24"/>
        </w:rPr>
        <w:t xml:space="preserve">aristotelica, si contrappone la dimensione politica del buon cittadino (buono – </w:t>
      </w:r>
      <w:proofErr w:type="spellStart"/>
      <w:r w:rsidRPr="00016017">
        <w:rPr>
          <w:rStyle w:val="A5"/>
          <w:rFonts w:ascii="Palatino" w:hAnsi="Palatino"/>
          <w:i/>
          <w:iCs/>
          <w:sz w:val="24"/>
          <w:szCs w:val="24"/>
        </w:rPr>
        <w:t>spoudaios</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 </w:t>
      </w:r>
      <w:proofErr w:type="gramStart"/>
      <w:r w:rsidRPr="00016017">
        <w:rPr>
          <w:rStyle w:val="A5"/>
          <w:rFonts w:ascii="Palatino" w:hAnsi="Palatino"/>
          <w:sz w:val="24"/>
          <w:szCs w:val="24"/>
        </w:rPr>
        <w:t>in quanto</w:t>
      </w:r>
      <w:proofErr w:type="gramEnd"/>
      <w:r w:rsidRPr="00016017">
        <w:rPr>
          <w:rStyle w:val="A5"/>
          <w:rFonts w:ascii="Palatino" w:hAnsi="Palatino"/>
          <w:sz w:val="24"/>
          <w:szCs w:val="24"/>
        </w:rPr>
        <w:t xml:space="preserve"> coerente nel pensiero e nel comportamento con il regime di cui è parte attiva) alla dimensione etica dell’uomo buono (</w:t>
      </w:r>
      <w:proofErr w:type="spellStart"/>
      <w:r w:rsidRPr="00016017">
        <w:rPr>
          <w:rStyle w:val="A5"/>
          <w:rFonts w:ascii="Palatino" w:hAnsi="Palatino"/>
          <w:i/>
          <w:sz w:val="24"/>
          <w:szCs w:val="24"/>
        </w:rPr>
        <w:t>aner</w:t>
      </w:r>
      <w:proofErr w:type="spellEnd"/>
      <w:r w:rsidRPr="00016017">
        <w:rPr>
          <w:rStyle w:val="A5"/>
          <w:rFonts w:ascii="Palatino" w:hAnsi="Palatino"/>
          <w:i/>
          <w:sz w:val="24"/>
          <w:szCs w:val="24"/>
        </w:rPr>
        <w:t xml:space="preserve"> </w:t>
      </w:r>
      <w:proofErr w:type="spellStart"/>
      <w:r w:rsidRPr="00016017">
        <w:rPr>
          <w:rStyle w:val="A5"/>
          <w:rFonts w:ascii="Palatino" w:hAnsi="Palatino"/>
          <w:i/>
          <w:sz w:val="24"/>
          <w:szCs w:val="24"/>
        </w:rPr>
        <w:t>agathos</w:t>
      </w:r>
      <w:proofErr w:type="spellEnd"/>
      <w:r w:rsidRPr="00016017">
        <w:rPr>
          <w:rStyle w:val="A5"/>
          <w:rFonts w:ascii="Palatino" w:hAnsi="Palatino"/>
          <w:sz w:val="24"/>
          <w:szCs w:val="24"/>
        </w:rPr>
        <w:t xml:space="preserve">). Ed è effettivamente riconducendo la discussione al piano etico che Socrate controbatte </w:t>
      </w:r>
      <w:proofErr w:type="spellStart"/>
      <w:r w:rsidRPr="00016017">
        <w:rPr>
          <w:rStyle w:val="A5"/>
          <w:rFonts w:ascii="Palatino" w:hAnsi="Palatino"/>
          <w:sz w:val="24"/>
          <w:szCs w:val="24"/>
        </w:rPr>
        <w:t>Tb</w:t>
      </w:r>
      <w:proofErr w:type="spellEnd"/>
      <w:r w:rsidRPr="00016017">
        <w:rPr>
          <w:rStyle w:val="A5"/>
          <w:rFonts w:ascii="Palatino" w:hAnsi="Palatino"/>
          <w:sz w:val="24"/>
          <w:szCs w:val="24"/>
        </w:rPr>
        <w:t xml:space="preserve">, ossia la seconda esternazione di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w:t>
      </w:r>
      <w:proofErr w:type="gramStart"/>
      <w:r w:rsidRPr="00016017">
        <w:rPr>
          <w:rStyle w:val="A5"/>
          <w:rFonts w:ascii="Palatino" w:hAnsi="Palatino"/>
          <w:sz w:val="24"/>
          <w:szCs w:val="24"/>
        </w:rPr>
        <w:t>343b</w:t>
      </w:r>
      <w:proofErr w:type="gramEnd"/>
      <w:r w:rsidRPr="00016017">
        <w:rPr>
          <w:rStyle w:val="A5"/>
          <w:rFonts w:ascii="Palatino" w:hAnsi="Palatino"/>
          <w:sz w:val="24"/>
          <w:szCs w:val="24"/>
        </w:rPr>
        <w:t xml:space="preserve"> – 344c). Socrate contrappone</w:t>
      </w:r>
      <w:proofErr w:type="gramStart"/>
      <w:r w:rsidRPr="00016017">
        <w:rPr>
          <w:rStyle w:val="A5"/>
          <w:rFonts w:ascii="Palatino" w:hAnsi="Palatino"/>
          <w:sz w:val="24"/>
          <w:szCs w:val="24"/>
        </w:rPr>
        <w:t xml:space="preserve"> infatti</w:t>
      </w:r>
      <w:proofErr w:type="gramEnd"/>
      <w:r w:rsidRPr="00016017">
        <w:rPr>
          <w:rStyle w:val="A5"/>
          <w:rFonts w:ascii="Palatino" w:hAnsi="Palatino"/>
          <w:sz w:val="24"/>
          <w:szCs w:val="24"/>
        </w:rPr>
        <w:t xml:space="preserve"> la giustizia intesa come virtù (</w:t>
      </w:r>
      <w:proofErr w:type="spellStart"/>
      <w:r w:rsidRPr="00016017">
        <w:rPr>
          <w:rStyle w:val="A5"/>
          <w:rFonts w:ascii="Palatino" w:hAnsi="Palatino"/>
          <w:i/>
          <w:iCs/>
          <w:sz w:val="24"/>
          <w:szCs w:val="24"/>
        </w:rPr>
        <w:t>arete</w:t>
      </w:r>
      <w:proofErr w:type="spellEnd"/>
      <w:r w:rsidRPr="00016017">
        <w:rPr>
          <w:rStyle w:val="A5"/>
          <w:rFonts w:ascii="Palatino" w:hAnsi="Palatino"/>
          <w:sz w:val="24"/>
          <w:szCs w:val="24"/>
        </w:rPr>
        <w:t>) all’ingiustizia intesa come vizio (</w:t>
      </w:r>
      <w:proofErr w:type="spellStart"/>
      <w:r w:rsidRPr="00016017">
        <w:rPr>
          <w:rStyle w:val="A5"/>
          <w:rFonts w:ascii="Palatino" w:hAnsi="Palatino"/>
          <w:i/>
          <w:iCs/>
          <w:sz w:val="24"/>
          <w:szCs w:val="24"/>
        </w:rPr>
        <w:t>kakia</w:t>
      </w:r>
      <w:proofErr w:type="spellEnd"/>
      <w:r w:rsidRPr="00016017">
        <w:rPr>
          <w:rStyle w:val="A5"/>
          <w:rFonts w:ascii="Palatino" w:hAnsi="Palatino"/>
          <w:sz w:val="24"/>
          <w:szCs w:val="24"/>
        </w:rPr>
        <w:t xml:space="preserve">) (348c). Ma </w:t>
      </w:r>
      <w:proofErr w:type="spellStart"/>
      <w:r w:rsidRPr="00016017">
        <w:rPr>
          <w:rStyle w:val="A5"/>
          <w:rFonts w:ascii="Palatino" w:hAnsi="Palatino"/>
          <w:sz w:val="24"/>
          <w:szCs w:val="24"/>
        </w:rPr>
        <w:t>Trasimaco</w:t>
      </w:r>
      <w:proofErr w:type="spellEnd"/>
      <w:r w:rsidRPr="00016017">
        <w:rPr>
          <w:rStyle w:val="A5"/>
          <w:rFonts w:ascii="Palatino" w:hAnsi="Palatino"/>
          <w:sz w:val="24"/>
          <w:szCs w:val="24"/>
        </w:rPr>
        <w:t xml:space="preserve"> non intende seguirlo per questa via: per giustizia intende </w:t>
      </w:r>
      <w:proofErr w:type="spellStart"/>
      <w:r w:rsidRPr="00016017">
        <w:rPr>
          <w:rStyle w:val="A5"/>
          <w:rFonts w:ascii="Palatino" w:hAnsi="Palatino"/>
          <w:i/>
          <w:iCs/>
          <w:sz w:val="24"/>
          <w:szCs w:val="24"/>
        </w:rPr>
        <w:t>euetheia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(dabbenaggine), e per ingiustizia intende </w:t>
      </w:r>
      <w:proofErr w:type="spellStart"/>
      <w:r w:rsidRPr="00016017">
        <w:rPr>
          <w:rStyle w:val="A5"/>
          <w:rFonts w:ascii="Palatino" w:hAnsi="Palatino"/>
          <w:i/>
          <w:iCs/>
          <w:sz w:val="24"/>
          <w:szCs w:val="24"/>
        </w:rPr>
        <w:t>euboulia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 xml:space="preserve">(la capacità di prevedere e decidere con intelligenza); ovvero, per esprimersi in italica </w:t>
      </w:r>
      <w:proofErr w:type="spellStart"/>
      <w:r w:rsidRPr="00016017">
        <w:rPr>
          <w:rStyle w:val="A5"/>
          <w:rFonts w:ascii="Palatino" w:hAnsi="Palatino"/>
          <w:i/>
          <w:sz w:val="24"/>
          <w:szCs w:val="24"/>
        </w:rPr>
        <w:t>Umgangssprache</w:t>
      </w:r>
      <w:proofErr w:type="spellEnd"/>
      <w:r w:rsidRPr="00016017">
        <w:rPr>
          <w:rStyle w:val="A5"/>
          <w:rFonts w:ascii="Palatino" w:hAnsi="Palatino"/>
          <w:sz w:val="24"/>
          <w:szCs w:val="24"/>
        </w:rPr>
        <w:t xml:space="preserve">, contrappone i </w:t>
      </w:r>
      <w:proofErr w:type="gramStart"/>
      <w:r w:rsidRPr="00016017">
        <w:rPr>
          <w:rStyle w:val="A5"/>
          <w:rFonts w:ascii="Palatino" w:hAnsi="Palatino"/>
          <w:sz w:val="24"/>
          <w:szCs w:val="24"/>
        </w:rPr>
        <w:t>fessi</w:t>
      </w:r>
      <w:proofErr w:type="gramEnd"/>
      <w:r w:rsidRPr="00016017">
        <w:rPr>
          <w:rStyle w:val="A5"/>
          <w:rFonts w:ascii="Palatino" w:hAnsi="Palatino"/>
          <w:sz w:val="24"/>
          <w:szCs w:val="24"/>
        </w:rPr>
        <w:t xml:space="preserve"> ai furbi, arrivando ad apprezzare in questa prospettiva, sia pure con un certo imbarazzo, anche i tagliaborse, in quanto si dimostrino abbastanza furbi da non farsi scoprire (348 c-d). Questo costringerà Socrate a “dimostrare” che l’uomo ingiusto è anche ignorante (349e </w:t>
      </w:r>
      <w:proofErr w:type="gramStart"/>
      <w:r w:rsidRPr="00016017">
        <w:rPr>
          <w:rStyle w:val="A5"/>
          <w:rFonts w:ascii="Palatino" w:hAnsi="Palatino"/>
          <w:sz w:val="24"/>
          <w:szCs w:val="24"/>
        </w:rPr>
        <w:t>ss.</w:t>
      </w:r>
      <w:proofErr w:type="gramEnd"/>
      <w:r w:rsidRPr="00016017">
        <w:rPr>
          <w:rStyle w:val="A5"/>
          <w:rFonts w:ascii="Palatino" w:hAnsi="Palatino"/>
          <w:sz w:val="24"/>
          <w:szCs w:val="24"/>
        </w:rPr>
        <w:t xml:space="preserve">). L’uomo buono aristotelico non è dunque soltanto </w:t>
      </w:r>
      <w:proofErr w:type="gramStart"/>
      <w:r w:rsidRPr="00016017">
        <w:rPr>
          <w:rStyle w:val="A5"/>
          <w:rFonts w:ascii="Palatino" w:hAnsi="Palatino"/>
          <w:sz w:val="24"/>
          <w:szCs w:val="24"/>
        </w:rPr>
        <w:t>colui che</w:t>
      </w:r>
      <w:proofErr w:type="gramEnd"/>
      <w:r w:rsidRPr="00016017">
        <w:rPr>
          <w:rStyle w:val="A5"/>
          <w:rFonts w:ascii="Palatino" w:hAnsi="Palatino"/>
          <w:sz w:val="24"/>
          <w:szCs w:val="24"/>
        </w:rPr>
        <w:t xml:space="preserve"> pratica la virtù, ma anche colui che si astiene dal compiere azioni malvagie secondo quanto già enunciato da Aristotele nell’</w:t>
      </w:r>
      <w:r w:rsidRPr="00016017">
        <w:rPr>
          <w:rStyle w:val="A5"/>
          <w:rFonts w:ascii="Palatino" w:hAnsi="Palatino"/>
          <w:i/>
          <w:iCs/>
          <w:sz w:val="24"/>
          <w:szCs w:val="24"/>
        </w:rPr>
        <w:t xml:space="preserve">Etica </w:t>
      </w:r>
      <w:proofErr w:type="spellStart"/>
      <w:r w:rsidRPr="00016017">
        <w:rPr>
          <w:rStyle w:val="A5"/>
          <w:rFonts w:ascii="Palatino" w:hAnsi="Palatino"/>
          <w:i/>
          <w:iCs/>
          <w:sz w:val="24"/>
          <w:szCs w:val="24"/>
        </w:rPr>
        <w:t>Nicomachea</w:t>
      </w:r>
      <w:proofErr w:type="spellEnd"/>
      <w:r w:rsidRPr="00016017">
        <w:rPr>
          <w:rStyle w:val="A5"/>
          <w:rFonts w:ascii="Palatino" w:hAnsi="Palatino"/>
          <w:i/>
          <w:iCs/>
          <w:sz w:val="24"/>
          <w:szCs w:val="24"/>
        </w:rPr>
        <w:t xml:space="preserve"> </w:t>
      </w:r>
      <w:r w:rsidRPr="00016017">
        <w:rPr>
          <w:rStyle w:val="A5"/>
          <w:rFonts w:ascii="Palatino" w:hAnsi="Palatino"/>
          <w:sz w:val="24"/>
          <w:szCs w:val="24"/>
        </w:rPr>
        <w:t>(</w:t>
      </w:r>
      <w:r w:rsidRPr="00016017">
        <w:rPr>
          <w:rStyle w:val="A5"/>
          <w:rFonts w:ascii="Palatino" w:hAnsi="Palatino"/>
          <w:i/>
          <w:iCs/>
          <w:sz w:val="24"/>
          <w:szCs w:val="24"/>
        </w:rPr>
        <w:t xml:space="preserve">EN </w:t>
      </w:r>
      <w:r w:rsidRPr="00016017">
        <w:rPr>
          <w:rStyle w:val="A5"/>
          <w:rFonts w:ascii="Palatino" w:hAnsi="Palatino"/>
          <w:sz w:val="24"/>
          <w:szCs w:val="24"/>
        </w:rPr>
        <w:t>1129b 14-25).</w:t>
      </w:r>
      <w:r w:rsidRPr="00016017">
        <w:rPr>
          <w:rStyle w:val="Rimandonotaapidipagina"/>
          <w:rFonts w:ascii="Palatino" w:hAnsi="Palatino" w:cs="HelveticaNeueLT Std Lt"/>
          <w:color w:val="221E1F"/>
        </w:rPr>
        <w:footnoteReference w:id="12"/>
      </w:r>
      <w:r w:rsidRPr="00016017">
        <w:rPr>
          <w:rStyle w:val="A5"/>
          <w:rFonts w:ascii="Palatino" w:hAnsi="Palatino"/>
          <w:sz w:val="24"/>
          <w:szCs w:val="24"/>
        </w:rPr>
        <w:t xml:space="preserve"> </w:t>
      </w:r>
      <w:proofErr w:type="gramStart"/>
      <w:r w:rsidRPr="00016017">
        <w:rPr>
          <w:rStyle w:val="A5"/>
          <w:rFonts w:ascii="Palatino" w:hAnsi="Palatino"/>
          <w:sz w:val="24"/>
          <w:szCs w:val="24"/>
        </w:rPr>
        <w:t>Quindi</w:t>
      </w:r>
      <w:proofErr w:type="gramEnd"/>
      <w:r w:rsidRPr="00016017">
        <w:rPr>
          <w:rStyle w:val="A5"/>
          <w:rFonts w:ascii="Palatino" w:hAnsi="Palatino"/>
          <w:sz w:val="24"/>
          <w:szCs w:val="24"/>
        </w:rPr>
        <w:t xml:space="preserve"> l’uomo “buono” si potrà trovare anche nei regimi deviati nei limiti in cui il sistema educativo non baderà soltanto alla formazione di una mentalità conforme al regime vigente (</w:t>
      </w:r>
      <w:proofErr w:type="spellStart"/>
      <w:r w:rsidRPr="00016017">
        <w:rPr>
          <w:rStyle w:val="A5"/>
          <w:rFonts w:ascii="Palatino" w:hAnsi="Palatino"/>
          <w:i/>
          <w:sz w:val="24"/>
          <w:szCs w:val="24"/>
        </w:rPr>
        <w:t>Pol</w:t>
      </w:r>
      <w:proofErr w:type="spellEnd"/>
      <w:r w:rsidRPr="00016017">
        <w:rPr>
          <w:rStyle w:val="A5"/>
          <w:rFonts w:ascii="Palatino" w:hAnsi="Palatino"/>
          <w:sz w:val="24"/>
          <w:szCs w:val="24"/>
        </w:rPr>
        <w:t xml:space="preserve">. 1310a 12 </w:t>
      </w:r>
      <w:proofErr w:type="gramStart"/>
      <w:r w:rsidRPr="00016017">
        <w:rPr>
          <w:rStyle w:val="A5"/>
          <w:rFonts w:ascii="Palatino" w:hAnsi="Palatino"/>
          <w:sz w:val="24"/>
          <w:szCs w:val="24"/>
        </w:rPr>
        <w:t>ss.</w:t>
      </w:r>
      <w:proofErr w:type="gramEnd"/>
      <w:r w:rsidRPr="00016017">
        <w:rPr>
          <w:rStyle w:val="A5"/>
          <w:rFonts w:ascii="Palatino" w:hAnsi="Palatino"/>
          <w:sz w:val="24"/>
          <w:szCs w:val="24"/>
        </w:rPr>
        <w:t xml:space="preserve">). Tuttavia la coincidenza tra le due figure sarà garantita solo nella polis ideale teorizzata nei libri VII-VIII della </w:t>
      </w:r>
      <w:r w:rsidRPr="00016017">
        <w:rPr>
          <w:rStyle w:val="A5"/>
          <w:rFonts w:ascii="Palatino" w:hAnsi="Palatino"/>
          <w:i/>
          <w:iCs/>
          <w:sz w:val="24"/>
          <w:szCs w:val="24"/>
        </w:rPr>
        <w:t>Politica</w:t>
      </w:r>
      <w:r w:rsidRPr="00016017">
        <w:rPr>
          <w:rStyle w:val="A5"/>
          <w:rFonts w:ascii="Palatino" w:hAnsi="Palatino"/>
          <w:sz w:val="24"/>
          <w:szCs w:val="24"/>
        </w:rPr>
        <w:t>.</w:t>
      </w:r>
    </w:p>
    <w:p w:rsidR="00016017" w:rsidRPr="00016017" w:rsidRDefault="00016017" w:rsidP="00016017">
      <w:pPr>
        <w:jc w:val="both"/>
        <w:rPr>
          <w:rFonts w:ascii="Palatino" w:hAnsi="Palatino"/>
        </w:rPr>
      </w:pPr>
    </w:p>
    <w:p w:rsidR="00016017" w:rsidRPr="00016017" w:rsidRDefault="00016017" w:rsidP="00016017">
      <w:pPr>
        <w:pStyle w:val="Pa29"/>
        <w:spacing w:before="100"/>
        <w:ind w:left="220"/>
        <w:jc w:val="both"/>
        <w:rPr>
          <w:rFonts w:ascii="Palatino" w:hAnsi="Palatino" w:cs="HelveticaNeueLT Std"/>
          <w:color w:val="221E1F"/>
        </w:rPr>
      </w:pPr>
      <w:r w:rsidRPr="00016017">
        <w:rPr>
          <w:rStyle w:val="A15"/>
          <w:rFonts w:ascii="Palatino" w:hAnsi="Palatino"/>
          <w:b/>
          <w:bCs/>
          <w:sz w:val="24"/>
          <w:szCs w:val="24"/>
        </w:rPr>
        <w:t xml:space="preserve">Bibliografia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F. De Luise, </w:t>
      </w:r>
      <w:proofErr w:type="spellStart"/>
      <w:r w:rsidRPr="00016017">
        <w:rPr>
          <w:rStyle w:val="A15"/>
          <w:rFonts w:ascii="Palatino" w:hAnsi="Palatino" w:cs="HelveticaNeueLT Std Lt"/>
          <w:i/>
          <w:iCs/>
          <w:sz w:val="24"/>
          <w:szCs w:val="24"/>
        </w:rPr>
        <w:t>Nomos</w:t>
      </w:r>
      <w:proofErr w:type="spellEnd"/>
      <w:r w:rsidRPr="00016017">
        <w:rPr>
          <w:rStyle w:val="A15"/>
          <w:rFonts w:ascii="Palatino" w:hAnsi="Palatino" w:cs="HelveticaNeueLT Std Lt"/>
          <w:i/>
          <w:iCs/>
          <w:sz w:val="24"/>
          <w:szCs w:val="24"/>
        </w:rPr>
        <w:t xml:space="preserve"> e </w:t>
      </w:r>
      <w:proofErr w:type="spellStart"/>
      <w:r w:rsidRPr="00016017">
        <w:rPr>
          <w:rStyle w:val="A15"/>
          <w:rFonts w:ascii="Palatino" w:hAnsi="Palatino" w:cs="HelveticaNeueLT Std Lt"/>
          <w:i/>
          <w:iCs/>
          <w:sz w:val="24"/>
          <w:szCs w:val="24"/>
        </w:rPr>
        <w:t>kratos</w:t>
      </w:r>
      <w:proofErr w:type="spellEnd"/>
      <w:r w:rsidRPr="00016017">
        <w:rPr>
          <w:rStyle w:val="A15"/>
          <w:rFonts w:ascii="Palatino" w:hAnsi="Palatino" w:cs="HelveticaNeueLT Std Lt"/>
          <w:i/>
          <w:iCs/>
          <w:sz w:val="24"/>
          <w:szCs w:val="24"/>
        </w:rPr>
        <w:t>: scene (e aporie) di un connubio antico</w:t>
      </w:r>
      <w:r w:rsidRPr="00016017">
        <w:rPr>
          <w:rStyle w:val="A15"/>
          <w:rFonts w:ascii="Palatino" w:hAnsi="Palatino" w:cs="HelveticaNeueLT Std Lt"/>
          <w:sz w:val="24"/>
          <w:szCs w:val="24"/>
        </w:rPr>
        <w:t xml:space="preserve">, in “Teoria Politica” </w:t>
      </w:r>
      <w:proofErr w:type="gramStart"/>
      <w:r w:rsidRPr="00016017">
        <w:rPr>
          <w:rStyle w:val="A15"/>
          <w:rFonts w:ascii="Palatino" w:hAnsi="Palatino" w:cs="HelveticaNeueLT Std Lt"/>
          <w:sz w:val="24"/>
          <w:szCs w:val="24"/>
        </w:rPr>
        <w:t>N.S.</w:t>
      </w:r>
      <w:proofErr w:type="gramEnd"/>
      <w:r w:rsidRPr="00016017">
        <w:rPr>
          <w:rStyle w:val="A15"/>
          <w:rFonts w:ascii="Palatino" w:hAnsi="Palatino" w:cs="HelveticaNeueLT Std Lt"/>
          <w:sz w:val="24"/>
          <w:szCs w:val="24"/>
        </w:rPr>
        <w:t xml:space="preserve"> &gt;/ </w:t>
      </w:r>
      <w:r w:rsidRPr="00016017">
        <w:rPr>
          <w:rStyle w:val="A15"/>
          <w:rFonts w:ascii="Palatino" w:hAnsi="Palatino" w:cs="HelveticaNeueLT Std Lt"/>
          <w:sz w:val="24"/>
          <w:szCs w:val="24"/>
        </w:rPr>
        <w:lastRenderedPageBreak/>
        <w:t xml:space="preserve">Annali V, 2015, pp. 37-58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S. Gastaldi, </w:t>
      </w:r>
      <w:r w:rsidRPr="00016017">
        <w:rPr>
          <w:rStyle w:val="A15"/>
          <w:rFonts w:ascii="Palatino" w:hAnsi="Palatino" w:cs="HelveticaNeueLT Std Lt"/>
          <w:i/>
          <w:iCs/>
          <w:sz w:val="24"/>
          <w:szCs w:val="24"/>
        </w:rPr>
        <w:t>Il cittadino e la sua virtù nella Politica di Aristotele</w:t>
      </w:r>
      <w:r w:rsidRPr="00016017">
        <w:rPr>
          <w:rStyle w:val="A15"/>
          <w:rFonts w:ascii="Palatino" w:hAnsi="Palatino" w:cs="HelveticaNeueLT Std Lt"/>
          <w:sz w:val="24"/>
          <w:szCs w:val="24"/>
        </w:rPr>
        <w:t xml:space="preserve">, in </w:t>
      </w:r>
      <w:proofErr w:type="gramStart"/>
      <w:r w:rsidRPr="00016017">
        <w:rPr>
          <w:rStyle w:val="A15"/>
          <w:rFonts w:ascii="Palatino" w:hAnsi="Palatino" w:cs="HelveticaNeueLT Std Lt"/>
          <w:sz w:val="24"/>
          <w:szCs w:val="24"/>
        </w:rPr>
        <w:t>F.L.</w:t>
      </w:r>
      <w:proofErr w:type="gramEnd"/>
      <w:r w:rsidRPr="00016017">
        <w:rPr>
          <w:rStyle w:val="A15"/>
          <w:rFonts w:ascii="Palatino" w:hAnsi="Palatino" w:cs="HelveticaNeueLT Std Lt"/>
          <w:sz w:val="24"/>
          <w:szCs w:val="24"/>
        </w:rPr>
        <w:t xml:space="preserve"> Lisi – M. </w:t>
      </w:r>
      <w:proofErr w:type="spellStart"/>
      <w:r w:rsidRPr="00016017">
        <w:rPr>
          <w:rStyle w:val="A15"/>
          <w:rFonts w:ascii="Palatino" w:hAnsi="Palatino" w:cs="HelveticaNeueLT Std Lt"/>
          <w:sz w:val="24"/>
          <w:szCs w:val="24"/>
        </w:rPr>
        <w:t>Curnis</w:t>
      </w:r>
      <w:proofErr w:type="spellEnd"/>
      <w:r w:rsidRPr="00016017">
        <w:rPr>
          <w:rStyle w:val="A15"/>
          <w:rFonts w:ascii="Palatino" w:hAnsi="Palatino" w:cs="HelveticaNeueLT Std Lt"/>
          <w:sz w:val="24"/>
          <w:szCs w:val="24"/>
        </w:rPr>
        <w:t xml:space="preserve"> (</w:t>
      </w:r>
      <w:proofErr w:type="spellStart"/>
      <w:r w:rsidRPr="00016017">
        <w:rPr>
          <w:rStyle w:val="A15"/>
          <w:rFonts w:ascii="Palatino" w:hAnsi="Palatino" w:cs="HelveticaNeueLT Std Lt"/>
          <w:sz w:val="24"/>
          <w:szCs w:val="24"/>
        </w:rPr>
        <w:t>eds</w:t>
      </w:r>
      <w:proofErr w:type="spellEnd"/>
      <w:r w:rsidRPr="00016017">
        <w:rPr>
          <w:rStyle w:val="A15"/>
          <w:rFonts w:ascii="Palatino" w:hAnsi="Palatino" w:cs="HelveticaNeueLT Std Lt"/>
          <w:sz w:val="24"/>
          <w:szCs w:val="24"/>
        </w:rPr>
        <w:t xml:space="preserve">.), </w:t>
      </w:r>
      <w:r w:rsidRPr="00016017">
        <w:rPr>
          <w:rStyle w:val="A15"/>
          <w:rFonts w:ascii="Palatino" w:hAnsi="Palatino" w:cs="HelveticaNeueLT Std Lt"/>
          <w:i/>
          <w:iCs/>
          <w:sz w:val="24"/>
          <w:szCs w:val="24"/>
        </w:rPr>
        <w:t xml:space="preserve">The </w:t>
      </w:r>
      <w:proofErr w:type="spellStart"/>
      <w:r w:rsidRPr="00016017">
        <w:rPr>
          <w:rStyle w:val="A15"/>
          <w:rFonts w:ascii="Palatino" w:hAnsi="Palatino" w:cs="HelveticaNeueLT Std Lt"/>
          <w:i/>
          <w:iCs/>
          <w:sz w:val="24"/>
          <w:szCs w:val="24"/>
        </w:rPr>
        <w:t>Harmony</w:t>
      </w:r>
      <w:proofErr w:type="spellEnd"/>
      <w:r w:rsidRPr="00016017">
        <w:rPr>
          <w:rStyle w:val="A15"/>
          <w:rFonts w:ascii="Palatino" w:hAnsi="Palatino" w:cs="HelveticaNeueLT Std Lt"/>
          <w:i/>
          <w:iCs/>
          <w:sz w:val="24"/>
          <w:szCs w:val="24"/>
        </w:rPr>
        <w:t xml:space="preserve"> of </w:t>
      </w:r>
      <w:proofErr w:type="spellStart"/>
      <w:r w:rsidRPr="00016017">
        <w:rPr>
          <w:rStyle w:val="A15"/>
          <w:rFonts w:ascii="Palatino" w:hAnsi="Palatino" w:cs="HelveticaNeueLT Std Lt"/>
          <w:i/>
          <w:iCs/>
          <w:sz w:val="24"/>
          <w:szCs w:val="24"/>
        </w:rPr>
        <w:t>Conflict</w:t>
      </w:r>
      <w:proofErr w:type="spellEnd"/>
      <w:r w:rsidRPr="00016017">
        <w:rPr>
          <w:rStyle w:val="A15"/>
          <w:rFonts w:ascii="Palatino" w:hAnsi="Palatino" w:cs="HelveticaNeueLT Std Lt"/>
          <w:i/>
          <w:iCs/>
          <w:sz w:val="24"/>
          <w:szCs w:val="24"/>
        </w:rPr>
        <w:t xml:space="preserve">. The </w:t>
      </w:r>
      <w:proofErr w:type="spellStart"/>
      <w:r w:rsidRPr="00016017">
        <w:rPr>
          <w:rStyle w:val="A15"/>
          <w:rFonts w:ascii="Palatino" w:hAnsi="Palatino" w:cs="HelveticaNeueLT Std Lt"/>
          <w:i/>
          <w:iCs/>
          <w:sz w:val="24"/>
          <w:szCs w:val="24"/>
        </w:rPr>
        <w:t>Aristotelian</w:t>
      </w:r>
      <w:proofErr w:type="spellEnd"/>
      <w:r w:rsidRPr="00016017">
        <w:rPr>
          <w:rStyle w:val="A15"/>
          <w:rFonts w:ascii="Palatino" w:hAnsi="Palatino" w:cs="HelveticaNeueLT Std Lt"/>
          <w:i/>
          <w:iCs/>
          <w:sz w:val="24"/>
          <w:szCs w:val="24"/>
        </w:rPr>
        <w:t xml:space="preserve"> Foundation of </w:t>
      </w:r>
      <w:proofErr w:type="spellStart"/>
      <w:r w:rsidRPr="00016017">
        <w:rPr>
          <w:rStyle w:val="A15"/>
          <w:rFonts w:ascii="Palatino" w:hAnsi="Palatino" w:cs="HelveticaNeueLT Std Lt"/>
          <w:i/>
          <w:iCs/>
          <w:sz w:val="24"/>
          <w:szCs w:val="24"/>
        </w:rPr>
        <w:t>Politics</w:t>
      </w:r>
      <w:proofErr w:type="spellEnd"/>
      <w:r w:rsidRPr="00016017">
        <w:rPr>
          <w:rStyle w:val="A15"/>
          <w:rFonts w:ascii="Palatino" w:hAnsi="Palatino" w:cs="HelveticaNeueLT Std Lt"/>
          <w:sz w:val="24"/>
          <w:szCs w:val="24"/>
        </w:rPr>
        <w:t xml:space="preserve">, </w:t>
      </w:r>
      <w:proofErr w:type="spellStart"/>
      <w:r w:rsidRPr="00016017">
        <w:rPr>
          <w:rStyle w:val="A15"/>
          <w:rFonts w:ascii="Palatino" w:hAnsi="Palatino" w:cs="HelveticaNeueLT Std Lt"/>
          <w:sz w:val="24"/>
          <w:szCs w:val="24"/>
        </w:rPr>
        <w:t>Sankt</w:t>
      </w:r>
      <w:proofErr w:type="spellEnd"/>
      <w:r w:rsidRPr="00016017">
        <w:rPr>
          <w:rStyle w:val="A15"/>
          <w:rFonts w:ascii="Palatino" w:hAnsi="Palatino" w:cs="HelveticaNeueLT Std Lt"/>
          <w:sz w:val="24"/>
          <w:szCs w:val="24"/>
        </w:rPr>
        <w:t xml:space="preserve"> </w:t>
      </w:r>
      <w:proofErr w:type="spellStart"/>
      <w:r w:rsidRPr="00016017">
        <w:rPr>
          <w:rStyle w:val="A15"/>
          <w:rFonts w:ascii="Palatino" w:hAnsi="Palatino" w:cs="HelveticaNeueLT Std Lt"/>
          <w:sz w:val="24"/>
          <w:szCs w:val="24"/>
        </w:rPr>
        <w:t>Augustin</w:t>
      </w:r>
      <w:proofErr w:type="spellEnd"/>
      <w:r w:rsidRPr="00016017">
        <w:rPr>
          <w:rStyle w:val="A15"/>
          <w:rFonts w:ascii="Palatino" w:hAnsi="Palatino" w:cs="HelveticaNeueLT Std Lt"/>
          <w:sz w:val="24"/>
          <w:szCs w:val="24"/>
        </w:rPr>
        <w:t xml:space="preserve"> 2017, pp. 123-143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A. Maffi, </w:t>
      </w:r>
      <w:r w:rsidRPr="00016017">
        <w:rPr>
          <w:rStyle w:val="A15"/>
          <w:rFonts w:ascii="Palatino" w:hAnsi="Palatino" w:cs="HelveticaNeueLT Std Lt"/>
          <w:i/>
          <w:iCs/>
          <w:sz w:val="24"/>
          <w:szCs w:val="24"/>
        </w:rPr>
        <w:t>Il principio di maggioranza nella prassi politico-giuridica della Grecia classica e nella critica aristotelica, in F. De Luise (a cura di), Legittimazione del potere, autorità della legge: un dibattito antico</w:t>
      </w:r>
      <w:r w:rsidRPr="00016017">
        <w:rPr>
          <w:rStyle w:val="A15"/>
          <w:rFonts w:ascii="Palatino" w:hAnsi="Palatino" w:cs="HelveticaNeueLT Std Lt"/>
          <w:sz w:val="24"/>
          <w:szCs w:val="24"/>
        </w:rPr>
        <w:t xml:space="preserve">, Trento 2016, pp. 109-151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A. Maffi, </w:t>
      </w:r>
      <w:proofErr w:type="spellStart"/>
      <w:r w:rsidRPr="00016017">
        <w:rPr>
          <w:rStyle w:val="A15"/>
          <w:rFonts w:ascii="Palatino" w:hAnsi="Palatino" w:cs="HelveticaNeueLT Std Lt"/>
          <w:i/>
          <w:iCs/>
          <w:sz w:val="24"/>
          <w:szCs w:val="24"/>
        </w:rPr>
        <w:t>Politeia</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i/>
          <w:iCs/>
          <w:sz w:val="24"/>
          <w:szCs w:val="24"/>
        </w:rPr>
        <w:t>politeuma</w:t>
      </w:r>
      <w:proofErr w:type="spellEnd"/>
      <w:r w:rsidRPr="00016017">
        <w:rPr>
          <w:rStyle w:val="A15"/>
          <w:rFonts w:ascii="Palatino" w:hAnsi="Palatino" w:cs="HelveticaNeueLT Std Lt"/>
          <w:i/>
          <w:iCs/>
          <w:sz w:val="24"/>
          <w:szCs w:val="24"/>
        </w:rPr>
        <w:t xml:space="preserve"> e legislazione nella Politica di Aristotele</w:t>
      </w:r>
      <w:r w:rsidRPr="00016017">
        <w:rPr>
          <w:rStyle w:val="A15"/>
          <w:rFonts w:ascii="Palatino" w:hAnsi="Palatino" w:cs="HelveticaNeueLT Std Lt"/>
          <w:sz w:val="24"/>
          <w:szCs w:val="24"/>
        </w:rPr>
        <w:t xml:space="preserve">, in “Teoria Politica” </w:t>
      </w:r>
      <w:proofErr w:type="gramStart"/>
      <w:r w:rsidRPr="00016017">
        <w:rPr>
          <w:rStyle w:val="A15"/>
          <w:rFonts w:ascii="Palatino" w:hAnsi="Palatino" w:cs="HelveticaNeueLT Std Lt"/>
          <w:sz w:val="24"/>
          <w:szCs w:val="24"/>
        </w:rPr>
        <w:t>N.S.</w:t>
      </w:r>
      <w:proofErr w:type="gramEnd"/>
      <w:r w:rsidRPr="00016017">
        <w:rPr>
          <w:rStyle w:val="A15"/>
          <w:rFonts w:ascii="Palatino" w:hAnsi="Palatino" w:cs="HelveticaNeueLT Std Lt"/>
          <w:sz w:val="24"/>
          <w:szCs w:val="24"/>
        </w:rPr>
        <w:t xml:space="preserve"> &gt;/ Annali VIII, 2018, pp. 35-62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F. </w:t>
      </w:r>
      <w:proofErr w:type="spellStart"/>
      <w:r w:rsidRPr="00016017">
        <w:rPr>
          <w:rStyle w:val="A15"/>
          <w:rFonts w:ascii="Palatino" w:hAnsi="Palatino" w:cs="HelveticaNeueLT Std Lt"/>
          <w:sz w:val="24"/>
          <w:szCs w:val="24"/>
        </w:rPr>
        <w:t>Trabattoni</w:t>
      </w:r>
      <w:proofErr w:type="spellEnd"/>
      <w:r w:rsidRPr="00016017">
        <w:rPr>
          <w:rStyle w:val="A15"/>
          <w:rFonts w:ascii="Palatino" w:hAnsi="Palatino" w:cs="HelveticaNeueLT Std Lt"/>
          <w:sz w:val="24"/>
          <w:szCs w:val="24"/>
        </w:rPr>
        <w:t xml:space="preserve"> 2011</w:t>
      </w:r>
      <w:r w:rsidRPr="00016017">
        <w:rPr>
          <w:rStyle w:val="A15"/>
          <w:rFonts w:ascii="Palatino" w:hAnsi="Palatino" w:cs="HelveticaNeueLT Std Lt"/>
          <w:i/>
          <w:iCs/>
          <w:sz w:val="24"/>
          <w:szCs w:val="24"/>
        </w:rPr>
        <w:t xml:space="preserve">, O </w:t>
      </w:r>
      <w:proofErr w:type="spellStart"/>
      <w:r w:rsidRPr="00016017">
        <w:rPr>
          <w:rStyle w:val="A15"/>
          <w:rFonts w:ascii="Palatino" w:hAnsi="Palatino" w:cs="HelveticaNeueLT Std Lt"/>
          <w:i/>
          <w:iCs/>
          <w:sz w:val="24"/>
          <w:szCs w:val="24"/>
        </w:rPr>
        <w:t>discurso</w:t>
      </w:r>
      <w:proofErr w:type="spellEnd"/>
      <w:r w:rsidRPr="00016017">
        <w:rPr>
          <w:rStyle w:val="A15"/>
          <w:rFonts w:ascii="Palatino" w:hAnsi="Palatino" w:cs="HelveticaNeueLT Std Lt"/>
          <w:i/>
          <w:iCs/>
          <w:sz w:val="24"/>
          <w:szCs w:val="24"/>
        </w:rPr>
        <w:t xml:space="preserve"> de </w:t>
      </w:r>
      <w:proofErr w:type="spellStart"/>
      <w:r w:rsidRPr="00016017">
        <w:rPr>
          <w:rStyle w:val="A15"/>
          <w:rFonts w:ascii="Palatino" w:hAnsi="Palatino" w:cs="HelveticaNeueLT Std Lt"/>
          <w:i/>
          <w:iCs/>
          <w:sz w:val="24"/>
          <w:szCs w:val="24"/>
        </w:rPr>
        <w:t>Trasímaco</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i/>
          <w:iCs/>
          <w:sz w:val="24"/>
          <w:szCs w:val="24"/>
        </w:rPr>
        <w:t>na</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sz w:val="24"/>
          <w:szCs w:val="24"/>
        </w:rPr>
        <w:t>República</w:t>
      </w:r>
      <w:proofErr w:type="spellEnd"/>
      <w:r w:rsidRPr="00016017">
        <w:rPr>
          <w:rStyle w:val="A15"/>
          <w:rFonts w:ascii="Palatino" w:hAnsi="Palatino" w:cs="HelveticaNeueLT Std Lt"/>
          <w:sz w:val="24"/>
          <w:szCs w:val="24"/>
        </w:rPr>
        <w:t xml:space="preserve"> </w:t>
      </w:r>
      <w:r w:rsidRPr="00016017">
        <w:rPr>
          <w:rStyle w:val="A15"/>
          <w:rFonts w:ascii="Palatino" w:hAnsi="Palatino" w:cs="HelveticaNeueLT Std Lt"/>
          <w:i/>
          <w:iCs/>
          <w:sz w:val="24"/>
          <w:szCs w:val="24"/>
        </w:rPr>
        <w:t xml:space="preserve">de </w:t>
      </w:r>
      <w:proofErr w:type="spellStart"/>
      <w:r w:rsidRPr="00016017">
        <w:rPr>
          <w:rStyle w:val="A15"/>
          <w:rFonts w:ascii="Palatino" w:hAnsi="Palatino" w:cs="HelveticaNeueLT Std Lt"/>
          <w:i/>
          <w:iCs/>
          <w:sz w:val="24"/>
          <w:szCs w:val="24"/>
        </w:rPr>
        <w:t>Platão</w:t>
      </w:r>
      <w:proofErr w:type="spellEnd"/>
      <w:r w:rsidRPr="00016017">
        <w:rPr>
          <w:rStyle w:val="A15"/>
          <w:rFonts w:ascii="Palatino" w:hAnsi="Palatino" w:cs="HelveticaNeueLT Std Lt"/>
          <w:sz w:val="24"/>
          <w:szCs w:val="24"/>
        </w:rPr>
        <w:t xml:space="preserve">, in D. G. Xavier, G. </w:t>
      </w:r>
      <w:proofErr w:type="spellStart"/>
      <w:r w:rsidRPr="00016017">
        <w:rPr>
          <w:rStyle w:val="A15"/>
          <w:rFonts w:ascii="Palatino" w:hAnsi="Palatino" w:cs="HelveticaNeueLT Std Lt"/>
          <w:sz w:val="24"/>
          <w:szCs w:val="24"/>
        </w:rPr>
        <w:t>Cornelli</w:t>
      </w:r>
      <w:proofErr w:type="spellEnd"/>
      <w:r w:rsidRPr="00016017">
        <w:rPr>
          <w:rStyle w:val="A15"/>
          <w:rFonts w:ascii="Palatino" w:hAnsi="Palatino" w:cs="HelveticaNeueLT Std Lt"/>
          <w:sz w:val="24"/>
          <w:szCs w:val="24"/>
        </w:rPr>
        <w:t xml:space="preserve"> (</w:t>
      </w:r>
      <w:proofErr w:type="spellStart"/>
      <w:proofErr w:type="gramStart"/>
      <w:r w:rsidRPr="00016017">
        <w:rPr>
          <w:rStyle w:val="A15"/>
          <w:rFonts w:ascii="Palatino" w:hAnsi="Palatino" w:cs="HelveticaNeueLT Std Lt"/>
          <w:sz w:val="24"/>
          <w:szCs w:val="24"/>
        </w:rPr>
        <w:t>curr</w:t>
      </w:r>
      <w:proofErr w:type="spellEnd"/>
      <w:r w:rsidRPr="00016017">
        <w:rPr>
          <w:rStyle w:val="A15"/>
          <w:rFonts w:ascii="Palatino" w:hAnsi="Palatino" w:cs="HelveticaNeueLT Std Lt"/>
          <w:sz w:val="24"/>
          <w:szCs w:val="24"/>
        </w:rPr>
        <w:t>.</w:t>
      </w:r>
      <w:proofErr w:type="gramEnd"/>
      <w:r w:rsidRPr="00016017">
        <w:rPr>
          <w:rStyle w:val="A15"/>
          <w:rFonts w:ascii="Palatino" w:hAnsi="Palatino" w:cs="HelveticaNeueLT Std Lt"/>
          <w:sz w:val="24"/>
          <w:szCs w:val="24"/>
        </w:rPr>
        <w:t xml:space="preserve">), </w:t>
      </w:r>
      <w:r w:rsidRPr="00016017">
        <w:rPr>
          <w:rStyle w:val="A15"/>
          <w:rFonts w:ascii="Palatino" w:hAnsi="Palatino" w:cs="HelveticaNeueLT Std Lt"/>
          <w:i/>
          <w:iCs/>
          <w:sz w:val="24"/>
          <w:szCs w:val="24"/>
        </w:rPr>
        <w:t xml:space="preserve">A </w:t>
      </w:r>
      <w:proofErr w:type="spellStart"/>
      <w:r w:rsidRPr="00016017">
        <w:rPr>
          <w:rStyle w:val="A15"/>
          <w:rFonts w:ascii="Palatino" w:hAnsi="Palatino" w:cs="HelveticaNeueLT Std Lt"/>
          <w:i/>
          <w:iCs/>
          <w:sz w:val="24"/>
          <w:szCs w:val="24"/>
        </w:rPr>
        <w:t>República</w:t>
      </w:r>
      <w:proofErr w:type="spellEnd"/>
      <w:r w:rsidRPr="00016017">
        <w:rPr>
          <w:rStyle w:val="A15"/>
          <w:rFonts w:ascii="Palatino" w:hAnsi="Palatino" w:cs="HelveticaNeueLT Std Lt"/>
          <w:i/>
          <w:iCs/>
          <w:sz w:val="24"/>
          <w:szCs w:val="24"/>
        </w:rPr>
        <w:t xml:space="preserve"> de </w:t>
      </w:r>
      <w:proofErr w:type="spellStart"/>
      <w:r w:rsidRPr="00016017">
        <w:rPr>
          <w:rStyle w:val="A15"/>
          <w:rFonts w:ascii="Palatino" w:hAnsi="Palatino" w:cs="HelveticaNeueLT Std Lt"/>
          <w:i/>
          <w:iCs/>
          <w:sz w:val="24"/>
          <w:szCs w:val="24"/>
        </w:rPr>
        <w:t>Platão</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i/>
          <w:iCs/>
          <w:sz w:val="24"/>
          <w:szCs w:val="24"/>
        </w:rPr>
        <w:t>Outros</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i/>
          <w:iCs/>
          <w:sz w:val="24"/>
          <w:szCs w:val="24"/>
        </w:rPr>
        <w:t>olhares</w:t>
      </w:r>
      <w:proofErr w:type="spellEnd"/>
      <w:r w:rsidRPr="00016017">
        <w:rPr>
          <w:rStyle w:val="A15"/>
          <w:rFonts w:ascii="Palatino" w:hAnsi="Palatino" w:cs="HelveticaNeueLT Std Lt"/>
          <w:sz w:val="24"/>
          <w:szCs w:val="24"/>
        </w:rPr>
        <w:t xml:space="preserve">, </w:t>
      </w:r>
      <w:proofErr w:type="spellStart"/>
      <w:r w:rsidRPr="00016017">
        <w:rPr>
          <w:rStyle w:val="A15"/>
          <w:rFonts w:ascii="Palatino" w:hAnsi="Palatino" w:cs="HelveticaNeueLT Std Lt"/>
          <w:sz w:val="24"/>
          <w:szCs w:val="24"/>
        </w:rPr>
        <w:t>São</w:t>
      </w:r>
      <w:proofErr w:type="spellEnd"/>
      <w:r w:rsidRPr="00016017">
        <w:rPr>
          <w:rStyle w:val="A15"/>
          <w:rFonts w:ascii="Palatino" w:hAnsi="Palatino" w:cs="HelveticaNeueLT Std Lt"/>
          <w:sz w:val="24"/>
          <w:szCs w:val="24"/>
        </w:rPr>
        <w:t xml:space="preserve"> Paulo 2011, pp. 87-98.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M. </w:t>
      </w:r>
      <w:proofErr w:type="spellStart"/>
      <w:r w:rsidRPr="00016017">
        <w:rPr>
          <w:rStyle w:val="A15"/>
          <w:rFonts w:ascii="Palatino" w:hAnsi="Palatino" w:cs="HelveticaNeueLT Std Lt"/>
          <w:sz w:val="24"/>
          <w:szCs w:val="24"/>
        </w:rPr>
        <w:t>Vegetti</w:t>
      </w:r>
      <w:proofErr w:type="spellEnd"/>
      <w:r w:rsidRPr="00016017">
        <w:rPr>
          <w:rStyle w:val="A15"/>
          <w:rFonts w:ascii="Palatino" w:hAnsi="Palatino" w:cs="HelveticaNeueLT Std Lt"/>
          <w:sz w:val="24"/>
          <w:szCs w:val="24"/>
        </w:rPr>
        <w:t xml:space="preserve"> 1998, </w:t>
      </w:r>
      <w:proofErr w:type="spellStart"/>
      <w:r w:rsidRPr="00016017">
        <w:rPr>
          <w:rStyle w:val="A15"/>
          <w:rFonts w:ascii="Palatino" w:hAnsi="Palatino" w:cs="HelveticaNeueLT Std Lt"/>
          <w:i/>
          <w:iCs/>
          <w:sz w:val="24"/>
          <w:szCs w:val="24"/>
        </w:rPr>
        <w:t>Trasimaco</w:t>
      </w:r>
      <w:proofErr w:type="spellEnd"/>
      <w:r w:rsidRPr="00016017">
        <w:rPr>
          <w:rStyle w:val="A15"/>
          <w:rFonts w:ascii="Palatino" w:hAnsi="Palatino" w:cs="HelveticaNeueLT Std Lt"/>
          <w:sz w:val="24"/>
          <w:szCs w:val="24"/>
        </w:rPr>
        <w:t xml:space="preserve">, in Platone, </w:t>
      </w:r>
      <w:r w:rsidRPr="00016017">
        <w:rPr>
          <w:rStyle w:val="A15"/>
          <w:rFonts w:ascii="Palatino" w:hAnsi="Palatino" w:cs="HelveticaNeueLT Std Lt"/>
          <w:i/>
          <w:iCs/>
          <w:sz w:val="24"/>
          <w:szCs w:val="24"/>
        </w:rPr>
        <w:t>La Repubblica</w:t>
      </w:r>
      <w:r w:rsidRPr="00016017">
        <w:rPr>
          <w:rStyle w:val="A15"/>
          <w:rFonts w:ascii="Palatino" w:hAnsi="Palatino" w:cs="HelveticaNeueLT Std Lt"/>
          <w:sz w:val="24"/>
          <w:szCs w:val="24"/>
        </w:rPr>
        <w:t xml:space="preserve">. </w:t>
      </w:r>
      <w:proofErr w:type="gramStart"/>
      <w:r w:rsidRPr="00016017">
        <w:rPr>
          <w:rStyle w:val="A15"/>
          <w:rFonts w:ascii="Palatino" w:hAnsi="Palatino" w:cs="HelveticaNeueLT Std Lt"/>
          <w:sz w:val="24"/>
          <w:szCs w:val="24"/>
        </w:rPr>
        <w:t xml:space="preserve">Traduzione e commento a cura di M. </w:t>
      </w:r>
      <w:proofErr w:type="spellStart"/>
      <w:r w:rsidRPr="00016017">
        <w:rPr>
          <w:rStyle w:val="A15"/>
          <w:rFonts w:ascii="Palatino" w:hAnsi="Palatino" w:cs="HelveticaNeueLT Std Lt"/>
          <w:sz w:val="24"/>
          <w:szCs w:val="24"/>
        </w:rPr>
        <w:t>Vegetti</w:t>
      </w:r>
      <w:proofErr w:type="spellEnd"/>
      <w:r w:rsidRPr="00016017">
        <w:rPr>
          <w:rStyle w:val="A15"/>
          <w:rFonts w:ascii="Palatino" w:hAnsi="Palatino" w:cs="HelveticaNeueLT Std Lt"/>
          <w:sz w:val="24"/>
          <w:szCs w:val="24"/>
        </w:rPr>
        <w:t xml:space="preserve">, vol. I, Napoli 1998, pp. 233-256 </w:t>
      </w:r>
      <w:proofErr w:type="gramEnd"/>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M. </w:t>
      </w:r>
      <w:proofErr w:type="spellStart"/>
      <w:r w:rsidRPr="00016017">
        <w:rPr>
          <w:rStyle w:val="A15"/>
          <w:rFonts w:ascii="Palatino" w:hAnsi="Palatino" w:cs="HelveticaNeueLT Std Lt"/>
          <w:sz w:val="24"/>
          <w:szCs w:val="24"/>
        </w:rPr>
        <w:t>Vegetti</w:t>
      </w:r>
      <w:proofErr w:type="spellEnd"/>
      <w:r w:rsidRPr="00016017">
        <w:rPr>
          <w:rStyle w:val="A15"/>
          <w:rFonts w:ascii="Palatino" w:hAnsi="Palatino" w:cs="HelveticaNeueLT Std Lt"/>
          <w:sz w:val="24"/>
          <w:szCs w:val="24"/>
        </w:rPr>
        <w:t xml:space="preserve"> 2016, </w:t>
      </w:r>
      <w:r w:rsidRPr="00016017">
        <w:rPr>
          <w:rStyle w:val="A15"/>
          <w:rFonts w:ascii="Palatino" w:hAnsi="Palatino" w:cs="HelveticaNeueLT Std Lt"/>
          <w:i/>
          <w:iCs/>
          <w:sz w:val="24"/>
          <w:szCs w:val="24"/>
        </w:rPr>
        <w:t>Incontro con Aristotele. Quindici lezioni</w:t>
      </w:r>
      <w:r w:rsidRPr="00016017">
        <w:rPr>
          <w:rStyle w:val="A15"/>
          <w:rFonts w:ascii="Palatino" w:hAnsi="Palatino" w:cs="HelveticaNeueLT Std Lt"/>
          <w:sz w:val="24"/>
          <w:szCs w:val="24"/>
        </w:rPr>
        <w:t xml:space="preserve">, Torino 2016. </w:t>
      </w:r>
    </w:p>
    <w:p w:rsidR="00016017" w:rsidRPr="00016017" w:rsidRDefault="00016017" w:rsidP="00016017">
      <w:pPr>
        <w:pStyle w:val="Pa23"/>
        <w:spacing w:before="100"/>
        <w:jc w:val="both"/>
        <w:rPr>
          <w:rFonts w:ascii="Palatino" w:hAnsi="Palatino" w:cs="HelveticaNeueLT Std Lt"/>
          <w:color w:val="221E1F"/>
        </w:rPr>
      </w:pPr>
      <w:r w:rsidRPr="00016017">
        <w:rPr>
          <w:rStyle w:val="A15"/>
          <w:rFonts w:ascii="Palatino" w:hAnsi="Palatino" w:cs="HelveticaNeueLT Std Lt"/>
          <w:sz w:val="24"/>
          <w:szCs w:val="24"/>
        </w:rPr>
        <w:t xml:space="preserve">M. </w:t>
      </w:r>
      <w:proofErr w:type="spellStart"/>
      <w:r w:rsidRPr="00016017">
        <w:rPr>
          <w:rStyle w:val="A15"/>
          <w:rFonts w:ascii="Palatino" w:hAnsi="Palatino" w:cs="HelveticaNeueLT Std Lt"/>
          <w:sz w:val="24"/>
          <w:szCs w:val="24"/>
        </w:rPr>
        <w:t>Vegetti</w:t>
      </w:r>
      <w:proofErr w:type="spellEnd"/>
      <w:r w:rsidRPr="00016017">
        <w:rPr>
          <w:rStyle w:val="A15"/>
          <w:rFonts w:ascii="Palatino" w:hAnsi="Palatino" w:cs="HelveticaNeueLT Std Lt"/>
          <w:sz w:val="24"/>
          <w:szCs w:val="24"/>
        </w:rPr>
        <w:t xml:space="preserve"> 2018</w:t>
      </w:r>
      <w:r>
        <w:rPr>
          <w:rStyle w:val="A15"/>
          <w:rFonts w:ascii="Palatino" w:hAnsi="Palatino" w:cs="HelveticaNeueLT Std Lt"/>
          <w:sz w:val="24"/>
          <w:szCs w:val="24"/>
          <w:vertAlign w:val="superscript"/>
        </w:rPr>
        <w:t>1</w:t>
      </w:r>
      <w:r w:rsidRPr="00016017">
        <w:rPr>
          <w:rStyle w:val="A15"/>
          <w:rFonts w:ascii="Palatino" w:hAnsi="Palatino" w:cs="HelveticaNeueLT Std Lt"/>
          <w:sz w:val="24"/>
          <w:szCs w:val="24"/>
        </w:rPr>
        <w:t xml:space="preserve">, </w:t>
      </w:r>
      <w:r w:rsidRPr="00016017">
        <w:rPr>
          <w:rStyle w:val="A15"/>
          <w:rFonts w:ascii="Palatino" w:hAnsi="Palatino" w:cs="HelveticaNeueLT Std Lt"/>
          <w:i/>
          <w:iCs/>
          <w:sz w:val="24"/>
          <w:szCs w:val="24"/>
        </w:rPr>
        <w:t xml:space="preserve">Antropologie della </w:t>
      </w:r>
      <w:proofErr w:type="spellStart"/>
      <w:r w:rsidRPr="00016017">
        <w:rPr>
          <w:rStyle w:val="A15"/>
          <w:rFonts w:ascii="Palatino" w:hAnsi="Palatino" w:cs="HelveticaNeueLT Std Lt"/>
          <w:i/>
          <w:iCs/>
          <w:sz w:val="24"/>
          <w:szCs w:val="24"/>
        </w:rPr>
        <w:t>pleonexia</w:t>
      </w:r>
      <w:proofErr w:type="spellEnd"/>
      <w:r w:rsidRPr="00016017">
        <w:rPr>
          <w:rStyle w:val="A15"/>
          <w:rFonts w:ascii="Palatino" w:hAnsi="Palatino" w:cs="HelveticaNeueLT Std Lt"/>
          <w:i/>
          <w:iCs/>
          <w:sz w:val="24"/>
          <w:szCs w:val="24"/>
        </w:rPr>
        <w:t xml:space="preserve">. </w:t>
      </w:r>
      <w:proofErr w:type="spellStart"/>
      <w:proofErr w:type="gramStart"/>
      <w:r w:rsidRPr="00016017">
        <w:rPr>
          <w:rStyle w:val="A15"/>
          <w:rFonts w:ascii="Palatino" w:hAnsi="Palatino" w:cs="HelveticaNeueLT Std Lt"/>
          <w:i/>
          <w:iCs/>
          <w:sz w:val="24"/>
          <w:szCs w:val="24"/>
        </w:rPr>
        <w:t>Callicle</w:t>
      </w:r>
      <w:proofErr w:type="spellEnd"/>
      <w:r w:rsidRPr="00016017">
        <w:rPr>
          <w:rStyle w:val="A15"/>
          <w:rFonts w:ascii="Palatino" w:hAnsi="Palatino" w:cs="HelveticaNeueLT Std Lt"/>
          <w:i/>
          <w:iCs/>
          <w:sz w:val="24"/>
          <w:szCs w:val="24"/>
        </w:rPr>
        <w:t xml:space="preserve">, </w:t>
      </w:r>
      <w:proofErr w:type="spellStart"/>
      <w:r w:rsidRPr="00016017">
        <w:rPr>
          <w:rStyle w:val="A15"/>
          <w:rFonts w:ascii="Palatino" w:hAnsi="Palatino" w:cs="HelveticaNeueLT Std Lt"/>
          <w:i/>
          <w:iCs/>
          <w:sz w:val="24"/>
          <w:szCs w:val="24"/>
        </w:rPr>
        <w:t>Trasimaco</w:t>
      </w:r>
      <w:proofErr w:type="spellEnd"/>
      <w:r w:rsidRPr="00016017">
        <w:rPr>
          <w:rStyle w:val="A15"/>
          <w:rFonts w:ascii="Palatino" w:hAnsi="Palatino" w:cs="HelveticaNeueLT Std Lt"/>
          <w:i/>
          <w:iCs/>
          <w:sz w:val="24"/>
          <w:szCs w:val="24"/>
        </w:rPr>
        <w:t xml:space="preserve"> e </w:t>
      </w:r>
      <w:proofErr w:type="spellStart"/>
      <w:r w:rsidRPr="00016017">
        <w:rPr>
          <w:rStyle w:val="A15"/>
          <w:rFonts w:ascii="Palatino" w:hAnsi="Palatino" w:cs="HelveticaNeueLT Std Lt"/>
          <w:i/>
          <w:iCs/>
          <w:sz w:val="24"/>
          <w:szCs w:val="24"/>
        </w:rPr>
        <w:t>Glaucone</w:t>
      </w:r>
      <w:proofErr w:type="spellEnd"/>
      <w:r w:rsidRPr="00016017">
        <w:rPr>
          <w:rStyle w:val="A15"/>
          <w:rFonts w:ascii="Palatino" w:hAnsi="Palatino" w:cs="HelveticaNeueLT Std Lt"/>
          <w:i/>
          <w:iCs/>
          <w:sz w:val="24"/>
          <w:szCs w:val="24"/>
        </w:rPr>
        <w:t xml:space="preserve"> in Platone</w:t>
      </w:r>
      <w:r w:rsidRPr="00016017">
        <w:rPr>
          <w:rStyle w:val="A15"/>
          <w:rFonts w:ascii="Palatino" w:hAnsi="Palatino" w:cs="HelveticaNeueLT Std Lt"/>
          <w:sz w:val="24"/>
          <w:szCs w:val="24"/>
        </w:rPr>
        <w:t xml:space="preserve">, in </w:t>
      </w:r>
      <w:r w:rsidRPr="00016017">
        <w:rPr>
          <w:rStyle w:val="A15"/>
          <w:rFonts w:ascii="Palatino" w:hAnsi="Palatino" w:cs="HelveticaNeueLT Std Lt"/>
          <w:i/>
          <w:iCs/>
          <w:sz w:val="24"/>
          <w:szCs w:val="24"/>
        </w:rPr>
        <w:t>Il potere della verità</w:t>
      </w:r>
      <w:proofErr w:type="gramEnd"/>
      <w:r w:rsidRPr="00016017">
        <w:rPr>
          <w:rStyle w:val="A15"/>
          <w:rFonts w:ascii="Palatino" w:hAnsi="Palatino" w:cs="HelveticaNeueLT Std Lt"/>
          <w:i/>
          <w:iCs/>
          <w:sz w:val="24"/>
          <w:szCs w:val="24"/>
        </w:rPr>
        <w:t>. Saggi platonici</w:t>
      </w:r>
      <w:r w:rsidRPr="00016017">
        <w:rPr>
          <w:rStyle w:val="A15"/>
          <w:rFonts w:ascii="Palatino" w:hAnsi="Palatino" w:cs="HelveticaNeueLT Std Lt"/>
          <w:sz w:val="24"/>
          <w:szCs w:val="24"/>
        </w:rPr>
        <w:t xml:space="preserve">, Roma 2018 </w:t>
      </w:r>
    </w:p>
    <w:p w:rsidR="00016017" w:rsidRPr="00016017" w:rsidRDefault="00016017" w:rsidP="00016017">
      <w:pPr>
        <w:jc w:val="both"/>
        <w:rPr>
          <w:rFonts w:ascii="Palatino" w:hAnsi="Palatino"/>
        </w:rPr>
      </w:pPr>
      <w:r w:rsidRPr="00016017">
        <w:rPr>
          <w:rStyle w:val="A15"/>
          <w:rFonts w:ascii="Palatino" w:hAnsi="Palatino" w:cs="HelveticaNeueLT Std Lt"/>
          <w:sz w:val="24"/>
          <w:szCs w:val="24"/>
        </w:rPr>
        <w:t xml:space="preserve">M. </w:t>
      </w:r>
      <w:proofErr w:type="spellStart"/>
      <w:r w:rsidRPr="00016017">
        <w:rPr>
          <w:rStyle w:val="A15"/>
          <w:rFonts w:ascii="Palatino" w:hAnsi="Palatino" w:cs="HelveticaNeueLT Std Lt"/>
          <w:sz w:val="24"/>
          <w:szCs w:val="24"/>
        </w:rPr>
        <w:t>Vegetti</w:t>
      </w:r>
      <w:proofErr w:type="spellEnd"/>
      <w:r w:rsidRPr="00016017">
        <w:rPr>
          <w:rStyle w:val="A15"/>
          <w:rFonts w:ascii="Palatino" w:hAnsi="Palatino" w:cs="HelveticaNeueLT Std Lt"/>
          <w:sz w:val="24"/>
          <w:szCs w:val="24"/>
        </w:rPr>
        <w:t xml:space="preserve"> 2018</w:t>
      </w:r>
      <w:r w:rsidRPr="00016017">
        <w:rPr>
          <w:rStyle w:val="A15"/>
          <w:rFonts w:ascii="Palatino" w:hAnsi="Palatino" w:cs="HelveticaNeueLT Std Lt"/>
          <w:sz w:val="24"/>
          <w:szCs w:val="24"/>
          <w:vertAlign w:val="superscript"/>
        </w:rPr>
        <w:t>2</w:t>
      </w:r>
      <w:r w:rsidRPr="00016017">
        <w:rPr>
          <w:rStyle w:val="A15"/>
          <w:rFonts w:ascii="Palatino" w:hAnsi="Palatino" w:cs="HelveticaNeueLT Std Lt"/>
          <w:sz w:val="24"/>
          <w:szCs w:val="24"/>
        </w:rPr>
        <w:t xml:space="preserve">, </w:t>
      </w:r>
      <w:r w:rsidRPr="00016017">
        <w:rPr>
          <w:rStyle w:val="A15"/>
          <w:rFonts w:ascii="Palatino" w:hAnsi="Palatino" w:cs="HelveticaNeueLT Std Lt"/>
          <w:i/>
          <w:iCs/>
          <w:sz w:val="24"/>
          <w:szCs w:val="24"/>
        </w:rPr>
        <w:t>I fondamenti del sapere politico. Aristotele contro Platone</w:t>
      </w:r>
      <w:proofErr w:type="gramStart"/>
      <w:r w:rsidRPr="00016017">
        <w:rPr>
          <w:rStyle w:val="A15"/>
          <w:rFonts w:ascii="Palatino" w:hAnsi="Palatino" w:cs="HelveticaNeueLT Std Lt"/>
          <w:i/>
          <w:iCs/>
          <w:sz w:val="24"/>
          <w:szCs w:val="24"/>
        </w:rPr>
        <w:t>?</w:t>
      </w:r>
      <w:r w:rsidRPr="00016017">
        <w:rPr>
          <w:rStyle w:val="A15"/>
          <w:rFonts w:ascii="Palatino" w:hAnsi="Palatino" w:cs="HelveticaNeueLT Std Lt"/>
          <w:sz w:val="24"/>
          <w:szCs w:val="24"/>
        </w:rPr>
        <w:t>,</w:t>
      </w:r>
      <w:proofErr w:type="gramEnd"/>
      <w:r w:rsidRPr="00016017">
        <w:rPr>
          <w:rStyle w:val="A15"/>
          <w:rFonts w:ascii="Palatino" w:hAnsi="Palatino" w:cs="HelveticaNeueLT Std Lt"/>
          <w:sz w:val="24"/>
          <w:szCs w:val="24"/>
        </w:rPr>
        <w:t xml:space="preserve"> in “Teoria Politica” N.S. &gt;/ Annali VIII, 2018, pp. 23-34.</w:t>
      </w:r>
    </w:p>
    <w:p w:rsidR="002D3499" w:rsidRPr="00016017" w:rsidRDefault="00016017" w:rsidP="00016017">
      <w:pPr>
        <w:jc w:val="both"/>
        <w:rPr>
          <w:rFonts w:ascii="Palatino" w:hAnsi="Palatino"/>
        </w:rPr>
      </w:pPr>
    </w:p>
    <w:sectPr w:rsidR="002D3499" w:rsidRPr="00016017" w:rsidSect="002D3499">
      <w:pgSz w:w="11899"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17" w:rsidRDefault="00016017" w:rsidP="00016017">
      <w:r>
        <w:separator/>
      </w:r>
    </w:p>
  </w:endnote>
  <w:endnote w:type="continuationSeparator" w:id="0">
    <w:p w:rsidR="00016017" w:rsidRDefault="00016017" w:rsidP="0001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NeueLT Std Lt">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LT Std">
    <w:altName w:val="Times New Roman"/>
    <w:panose1 w:val="00000000000000000000"/>
    <w:charset w:val="4D"/>
    <w:family w:val="swiss"/>
    <w:notTrueType/>
    <w:pitch w:val="default"/>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Minion Pro Med">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17" w:rsidRDefault="00016017" w:rsidP="00016017">
      <w:r>
        <w:separator/>
      </w:r>
    </w:p>
  </w:footnote>
  <w:footnote w:type="continuationSeparator" w:id="0">
    <w:p w:rsidR="00016017" w:rsidRDefault="00016017" w:rsidP="00016017">
      <w:r>
        <w:continuationSeparator/>
      </w:r>
    </w:p>
  </w:footnote>
  <w:footnote w:id="1">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Mi riferisco in particolare a </w:t>
      </w:r>
      <w:proofErr w:type="spellStart"/>
      <w:r w:rsidRPr="001223B6">
        <w:rPr>
          <w:color w:val="221E1F"/>
          <w:sz w:val="20"/>
          <w:szCs w:val="20"/>
        </w:rPr>
        <w:t>Vegetti</w:t>
      </w:r>
      <w:proofErr w:type="spellEnd"/>
      <w:r w:rsidRPr="001223B6">
        <w:rPr>
          <w:color w:val="221E1F"/>
          <w:sz w:val="20"/>
          <w:szCs w:val="20"/>
        </w:rPr>
        <w:t xml:space="preserve"> 1998 e 2018¹. </w:t>
      </w:r>
    </w:p>
  </w:footnote>
  <w:footnote w:id="2">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Occorre ricordare che l’aggettivo sostantivato può indicare tanto ciò che è giusto quanto ciò che </w:t>
      </w:r>
      <w:proofErr w:type="gramStart"/>
      <w:r w:rsidRPr="001223B6">
        <w:rPr>
          <w:color w:val="221E1F"/>
          <w:sz w:val="20"/>
          <w:szCs w:val="20"/>
        </w:rPr>
        <w:t>è conforme</w:t>
      </w:r>
      <w:proofErr w:type="gramEnd"/>
      <w:r w:rsidRPr="001223B6">
        <w:rPr>
          <w:color w:val="221E1F"/>
          <w:sz w:val="20"/>
          <w:szCs w:val="20"/>
        </w:rPr>
        <w:t xml:space="preserve"> al diritto vigente. </w:t>
      </w:r>
    </w:p>
  </w:footnote>
  <w:footnote w:id="3">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In italiano è abituale tradurre </w:t>
      </w:r>
      <w:proofErr w:type="spellStart"/>
      <w:r w:rsidRPr="001223B6">
        <w:rPr>
          <w:i/>
          <w:iCs/>
          <w:color w:val="221E1F"/>
          <w:sz w:val="20"/>
          <w:szCs w:val="20"/>
        </w:rPr>
        <w:t>archomenoi</w:t>
      </w:r>
      <w:proofErr w:type="spellEnd"/>
      <w:r w:rsidRPr="001223B6">
        <w:rPr>
          <w:i/>
          <w:iCs/>
          <w:color w:val="221E1F"/>
          <w:sz w:val="20"/>
          <w:szCs w:val="20"/>
        </w:rPr>
        <w:t xml:space="preserve"> </w:t>
      </w:r>
      <w:r w:rsidRPr="001223B6">
        <w:rPr>
          <w:color w:val="221E1F"/>
          <w:sz w:val="20"/>
          <w:szCs w:val="20"/>
        </w:rPr>
        <w:t xml:space="preserve">con sudditi – v. lo stesso </w:t>
      </w:r>
      <w:proofErr w:type="spellStart"/>
      <w:r w:rsidRPr="001223B6">
        <w:rPr>
          <w:color w:val="221E1F"/>
          <w:sz w:val="20"/>
          <w:szCs w:val="20"/>
        </w:rPr>
        <w:t>Vegetti</w:t>
      </w:r>
      <w:proofErr w:type="spellEnd"/>
      <w:r w:rsidRPr="001223B6">
        <w:rPr>
          <w:color w:val="221E1F"/>
          <w:sz w:val="20"/>
          <w:szCs w:val="20"/>
        </w:rPr>
        <w:t xml:space="preserve">, </w:t>
      </w:r>
      <w:r w:rsidRPr="001223B6">
        <w:rPr>
          <w:i/>
          <w:iCs/>
          <w:color w:val="221E1F"/>
          <w:sz w:val="20"/>
          <w:szCs w:val="20"/>
        </w:rPr>
        <w:t>Commento</w:t>
      </w:r>
      <w:r w:rsidRPr="001223B6">
        <w:rPr>
          <w:color w:val="221E1F"/>
          <w:sz w:val="20"/>
          <w:szCs w:val="20"/>
        </w:rPr>
        <w:t xml:space="preserve">, p. 240. Ora, è vero che </w:t>
      </w:r>
      <w:proofErr w:type="gramStart"/>
      <w:r w:rsidRPr="001223B6">
        <w:rPr>
          <w:color w:val="221E1F"/>
          <w:sz w:val="20"/>
          <w:szCs w:val="20"/>
        </w:rPr>
        <w:t>in relazione ai</w:t>
      </w:r>
      <w:proofErr w:type="gramEnd"/>
      <w:r w:rsidRPr="001223B6">
        <w:rPr>
          <w:color w:val="221E1F"/>
          <w:sz w:val="20"/>
          <w:szCs w:val="20"/>
        </w:rPr>
        <w:t xml:space="preserve"> governanti più forti, coloro che sono tenuti a obbedire ai loro ordini sono definiti inferiori o più deboli; ma, tenendo conto che fra i regimi presi in considerazione da </w:t>
      </w:r>
      <w:proofErr w:type="spellStart"/>
      <w:r w:rsidRPr="001223B6">
        <w:rPr>
          <w:color w:val="221E1F"/>
          <w:sz w:val="20"/>
          <w:szCs w:val="20"/>
        </w:rPr>
        <w:t>Trasimaco</w:t>
      </w:r>
      <w:proofErr w:type="spellEnd"/>
      <w:r w:rsidRPr="001223B6">
        <w:rPr>
          <w:color w:val="221E1F"/>
          <w:sz w:val="20"/>
          <w:szCs w:val="20"/>
        </w:rPr>
        <w:t xml:space="preserve"> c’è anche la democrazia, caratterizzata per definizione dall’alternanza dei cittadini nelle magistrature, mi pare meglio tradurre “i governati”. </w:t>
      </w:r>
    </w:p>
  </w:footnote>
  <w:footnote w:id="4">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Ho volutamente evitato di tradurre </w:t>
      </w:r>
      <w:proofErr w:type="spellStart"/>
      <w:r w:rsidRPr="001223B6">
        <w:rPr>
          <w:i/>
          <w:iCs/>
          <w:color w:val="221E1F"/>
          <w:sz w:val="20"/>
          <w:szCs w:val="20"/>
        </w:rPr>
        <w:t>dikaion</w:t>
      </w:r>
      <w:proofErr w:type="spellEnd"/>
      <w:r w:rsidRPr="001223B6">
        <w:rPr>
          <w:color w:val="221E1F"/>
          <w:sz w:val="20"/>
          <w:szCs w:val="20"/>
        </w:rPr>
        <w:t xml:space="preserve">, perché a mio parere </w:t>
      </w:r>
      <w:proofErr w:type="gramStart"/>
      <w:r w:rsidRPr="001223B6">
        <w:rPr>
          <w:color w:val="221E1F"/>
          <w:sz w:val="20"/>
          <w:szCs w:val="20"/>
        </w:rPr>
        <w:t>qui</w:t>
      </w:r>
      <w:proofErr w:type="gramEnd"/>
      <w:r w:rsidRPr="001223B6">
        <w:rPr>
          <w:color w:val="221E1F"/>
          <w:sz w:val="20"/>
          <w:szCs w:val="20"/>
        </w:rPr>
        <w:t xml:space="preserve"> significa insieme giuridicamente vincolante e, di conseguenza, giusto: la coesistenza dei due significati nel medesimo termine (v. n. 2) è confermata dalla presenza dei due participi </w:t>
      </w:r>
      <w:proofErr w:type="spellStart"/>
      <w:r w:rsidRPr="001223B6">
        <w:rPr>
          <w:i/>
          <w:iCs/>
          <w:color w:val="221E1F"/>
          <w:sz w:val="20"/>
          <w:szCs w:val="20"/>
        </w:rPr>
        <w:t>paranomounta</w:t>
      </w:r>
      <w:proofErr w:type="spellEnd"/>
      <w:r w:rsidRPr="001223B6">
        <w:rPr>
          <w:i/>
          <w:iCs/>
          <w:color w:val="221E1F"/>
          <w:sz w:val="20"/>
          <w:szCs w:val="20"/>
        </w:rPr>
        <w:t xml:space="preserve"> </w:t>
      </w:r>
      <w:r w:rsidRPr="001223B6">
        <w:rPr>
          <w:color w:val="221E1F"/>
          <w:sz w:val="20"/>
          <w:szCs w:val="20"/>
        </w:rPr>
        <w:t xml:space="preserve">e </w:t>
      </w:r>
      <w:proofErr w:type="spellStart"/>
      <w:r w:rsidRPr="001223B6">
        <w:rPr>
          <w:i/>
          <w:iCs/>
          <w:color w:val="221E1F"/>
          <w:sz w:val="20"/>
          <w:szCs w:val="20"/>
        </w:rPr>
        <w:t>adikounta</w:t>
      </w:r>
      <w:proofErr w:type="spellEnd"/>
      <w:r w:rsidRPr="001223B6">
        <w:rPr>
          <w:color w:val="221E1F"/>
          <w:sz w:val="20"/>
          <w:szCs w:val="20"/>
        </w:rPr>
        <w:t xml:space="preserve">. Aggiungo, ma è un punto che andrebbe naturalmente approfondito, che verosimilmente Socrate non si riferisce solo al dettato di legge, ma anche alle decisioni degli organi deliberativi e alle ordinanze dei magistrati: in questo senso mi sembra deponga l’uso dei verbi </w:t>
      </w:r>
      <w:proofErr w:type="spellStart"/>
      <w:r w:rsidRPr="001223B6">
        <w:rPr>
          <w:i/>
          <w:iCs/>
          <w:color w:val="221E1F"/>
          <w:sz w:val="20"/>
          <w:szCs w:val="20"/>
        </w:rPr>
        <w:t>prostatto</w:t>
      </w:r>
      <w:proofErr w:type="spellEnd"/>
      <w:r w:rsidRPr="001223B6">
        <w:rPr>
          <w:i/>
          <w:iCs/>
          <w:color w:val="221E1F"/>
          <w:sz w:val="20"/>
          <w:szCs w:val="20"/>
        </w:rPr>
        <w:t xml:space="preserve"> </w:t>
      </w:r>
      <w:r w:rsidRPr="001223B6">
        <w:rPr>
          <w:color w:val="221E1F"/>
          <w:sz w:val="20"/>
          <w:szCs w:val="20"/>
        </w:rPr>
        <w:t xml:space="preserve">e </w:t>
      </w:r>
      <w:proofErr w:type="spellStart"/>
      <w:r w:rsidRPr="001223B6">
        <w:rPr>
          <w:i/>
          <w:iCs/>
          <w:color w:val="221E1F"/>
          <w:sz w:val="20"/>
          <w:szCs w:val="20"/>
        </w:rPr>
        <w:t>keleuo</w:t>
      </w:r>
      <w:proofErr w:type="spellEnd"/>
      <w:r w:rsidRPr="001223B6">
        <w:rPr>
          <w:color w:val="221E1F"/>
          <w:sz w:val="20"/>
          <w:szCs w:val="20"/>
        </w:rPr>
        <w:t xml:space="preserve">. </w:t>
      </w:r>
    </w:p>
  </w:footnote>
  <w:footnote w:id="5">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Per quanto riguarda la giustizia “politica” adopero questa qualifica in senso diverso da </w:t>
      </w:r>
      <w:proofErr w:type="spellStart"/>
      <w:r w:rsidRPr="001223B6">
        <w:rPr>
          <w:color w:val="221E1F"/>
          <w:sz w:val="20"/>
          <w:szCs w:val="20"/>
        </w:rPr>
        <w:t>Vegetti</w:t>
      </w:r>
      <w:proofErr w:type="spellEnd"/>
      <w:r w:rsidRPr="001223B6">
        <w:rPr>
          <w:color w:val="221E1F"/>
          <w:sz w:val="20"/>
          <w:szCs w:val="20"/>
        </w:rPr>
        <w:t xml:space="preserve"> 2016, p. 192. Per quanto riguarda la giustizia “civile” non mi riferisco ovviamente alla “giustizia civile” in senso tecnico, </w:t>
      </w:r>
      <w:proofErr w:type="gramStart"/>
      <w:r w:rsidRPr="001223B6">
        <w:rPr>
          <w:color w:val="221E1F"/>
          <w:sz w:val="20"/>
          <w:szCs w:val="20"/>
        </w:rPr>
        <w:t>dato che</w:t>
      </w:r>
      <w:proofErr w:type="gramEnd"/>
      <w:r w:rsidRPr="001223B6">
        <w:rPr>
          <w:color w:val="221E1F"/>
          <w:sz w:val="20"/>
          <w:szCs w:val="20"/>
        </w:rPr>
        <w:t xml:space="preserve">, valutando dal </w:t>
      </w:r>
      <w:proofErr w:type="spellStart"/>
      <w:r w:rsidRPr="001223B6">
        <w:rPr>
          <w:color w:val="221E1F"/>
          <w:sz w:val="20"/>
          <w:szCs w:val="20"/>
        </w:rPr>
        <w:t>dal</w:t>
      </w:r>
      <w:proofErr w:type="spellEnd"/>
      <w:r w:rsidRPr="001223B6">
        <w:rPr>
          <w:color w:val="221E1F"/>
          <w:sz w:val="20"/>
          <w:szCs w:val="20"/>
        </w:rPr>
        <w:t xml:space="preserve"> nostro punto di vista, </w:t>
      </w:r>
      <w:proofErr w:type="spellStart"/>
      <w:r w:rsidRPr="001223B6">
        <w:rPr>
          <w:color w:val="221E1F"/>
          <w:sz w:val="20"/>
          <w:szCs w:val="20"/>
        </w:rPr>
        <w:t>Trasimaco</w:t>
      </w:r>
      <w:proofErr w:type="spellEnd"/>
      <w:r w:rsidRPr="001223B6">
        <w:rPr>
          <w:color w:val="221E1F"/>
          <w:sz w:val="20"/>
          <w:szCs w:val="20"/>
        </w:rPr>
        <w:t xml:space="preserve"> si riferisce soprattutto alla giustizia penale. Occorre tuttavia considerare che nella lista di delinquenti, che troviamo in 344 b, compaiono anche gli </w:t>
      </w:r>
      <w:proofErr w:type="spellStart"/>
      <w:r w:rsidRPr="001223B6">
        <w:rPr>
          <w:i/>
          <w:iCs/>
          <w:color w:val="221E1F"/>
          <w:sz w:val="20"/>
          <w:szCs w:val="20"/>
        </w:rPr>
        <w:t>aposteretai</w:t>
      </w:r>
      <w:proofErr w:type="spellEnd"/>
      <w:r w:rsidRPr="001223B6">
        <w:rPr>
          <w:color w:val="221E1F"/>
          <w:sz w:val="20"/>
          <w:szCs w:val="20"/>
        </w:rPr>
        <w:t xml:space="preserve">. A mio parere questo termine è da mettere in relazione con il verbo </w:t>
      </w:r>
      <w:proofErr w:type="spellStart"/>
      <w:r w:rsidRPr="001223B6">
        <w:rPr>
          <w:i/>
          <w:iCs/>
          <w:color w:val="221E1F"/>
          <w:sz w:val="20"/>
          <w:szCs w:val="20"/>
        </w:rPr>
        <w:t>aposterein</w:t>
      </w:r>
      <w:proofErr w:type="spellEnd"/>
      <w:r w:rsidRPr="001223B6">
        <w:rPr>
          <w:color w:val="221E1F"/>
          <w:sz w:val="20"/>
          <w:szCs w:val="20"/>
        </w:rPr>
        <w:t xml:space="preserve">, che negli oratori designa l’inadempimento contrattuale. </w:t>
      </w:r>
    </w:p>
  </w:footnote>
  <w:footnote w:id="6">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proofErr w:type="gramStart"/>
      <w:r w:rsidRPr="001223B6">
        <w:rPr>
          <w:color w:val="221E1F"/>
          <w:sz w:val="20"/>
          <w:szCs w:val="20"/>
        </w:rPr>
        <w:t>Ce lo</w:t>
      </w:r>
      <w:proofErr w:type="gramEnd"/>
      <w:r w:rsidRPr="001223B6">
        <w:rPr>
          <w:color w:val="221E1F"/>
          <w:sz w:val="20"/>
          <w:szCs w:val="20"/>
        </w:rPr>
        <w:t xml:space="preserve"> conferma il fatto che in particolare i magistrati di un regime democratico non si possono certo definire “più forti” del resto dei cittadini, se non nell’ambito delle competenze coercitive che la legge conferisce loro. </w:t>
      </w:r>
    </w:p>
  </w:footnote>
  <w:footnote w:id="7">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proofErr w:type="spellStart"/>
      <w:r w:rsidRPr="001223B6">
        <w:rPr>
          <w:i/>
          <w:iCs/>
          <w:color w:val="221E1F"/>
          <w:sz w:val="20"/>
          <w:szCs w:val="20"/>
        </w:rPr>
        <w:t>Tois</w:t>
      </w:r>
      <w:proofErr w:type="spellEnd"/>
      <w:r w:rsidRPr="001223B6">
        <w:rPr>
          <w:i/>
          <w:iCs/>
          <w:color w:val="221E1F"/>
          <w:sz w:val="20"/>
          <w:szCs w:val="20"/>
        </w:rPr>
        <w:t xml:space="preserve"> </w:t>
      </w:r>
      <w:proofErr w:type="spellStart"/>
      <w:r w:rsidRPr="001223B6">
        <w:rPr>
          <w:i/>
          <w:iCs/>
          <w:color w:val="221E1F"/>
          <w:sz w:val="20"/>
          <w:szCs w:val="20"/>
        </w:rPr>
        <w:t>pros</w:t>
      </w:r>
      <w:proofErr w:type="spellEnd"/>
      <w:r w:rsidRPr="001223B6">
        <w:rPr>
          <w:i/>
          <w:iCs/>
          <w:color w:val="221E1F"/>
          <w:sz w:val="20"/>
          <w:szCs w:val="20"/>
        </w:rPr>
        <w:t xml:space="preserve"> </w:t>
      </w:r>
      <w:proofErr w:type="spellStart"/>
      <w:r w:rsidRPr="001223B6">
        <w:rPr>
          <w:i/>
          <w:iCs/>
          <w:color w:val="221E1F"/>
          <w:sz w:val="20"/>
          <w:szCs w:val="20"/>
        </w:rPr>
        <w:t>allelous</w:t>
      </w:r>
      <w:proofErr w:type="spellEnd"/>
      <w:r w:rsidRPr="001223B6">
        <w:rPr>
          <w:i/>
          <w:iCs/>
          <w:color w:val="221E1F"/>
          <w:sz w:val="20"/>
          <w:szCs w:val="20"/>
        </w:rPr>
        <w:t xml:space="preserve"> </w:t>
      </w:r>
      <w:proofErr w:type="spellStart"/>
      <w:r w:rsidRPr="001223B6">
        <w:rPr>
          <w:i/>
          <w:iCs/>
          <w:color w:val="221E1F"/>
          <w:sz w:val="20"/>
          <w:szCs w:val="20"/>
        </w:rPr>
        <w:t>symbolaiois</w:t>
      </w:r>
      <w:proofErr w:type="spellEnd"/>
      <w:r w:rsidRPr="001223B6">
        <w:rPr>
          <w:i/>
          <w:iCs/>
          <w:color w:val="221E1F"/>
          <w:sz w:val="20"/>
          <w:szCs w:val="20"/>
        </w:rPr>
        <w:t xml:space="preserve"> </w:t>
      </w:r>
      <w:r w:rsidRPr="001223B6">
        <w:rPr>
          <w:color w:val="221E1F"/>
          <w:sz w:val="20"/>
          <w:szCs w:val="20"/>
        </w:rPr>
        <w:t xml:space="preserve">(343 d) viene in genere riferito nelle traduzioni a rapporti contrattuali. Ma </w:t>
      </w:r>
      <w:proofErr w:type="spellStart"/>
      <w:r w:rsidRPr="001223B6">
        <w:rPr>
          <w:i/>
          <w:iCs/>
          <w:color w:val="221E1F"/>
          <w:sz w:val="20"/>
          <w:szCs w:val="20"/>
        </w:rPr>
        <w:t>symbolaion</w:t>
      </w:r>
      <w:proofErr w:type="spellEnd"/>
      <w:r w:rsidRPr="001223B6">
        <w:rPr>
          <w:i/>
          <w:iCs/>
          <w:color w:val="221E1F"/>
          <w:sz w:val="20"/>
          <w:szCs w:val="20"/>
        </w:rPr>
        <w:t xml:space="preserve"> </w:t>
      </w:r>
      <w:r w:rsidRPr="001223B6">
        <w:rPr>
          <w:color w:val="221E1F"/>
          <w:sz w:val="20"/>
          <w:szCs w:val="20"/>
        </w:rPr>
        <w:t xml:space="preserve">va qui considerato un sinonimo di quei </w:t>
      </w:r>
      <w:proofErr w:type="spellStart"/>
      <w:r w:rsidRPr="001223B6">
        <w:rPr>
          <w:i/>
          <w:iCs/>
          <w:color w:val="221E1F"/>
          <w:sz w:val="20"/>
          <w:szCs w:val="20"/>
        </w:rPr>
        <w:t>synallagmata</w:t>
      </w:r>
      <w:proofErr w:type="spellEnd"/>
      <w:r w:rsidRPr="001223B6">
        <w:rPr>
          <w:i/>
          <w:iCs/>
          <w:color w:val="221E1F"/>
          <w:sz w:val="20"/>
          <w:szCs w:val="20"/>
        </w:rPr>
        <w:t xml:space="preserve"> </w:t>
      </w:r>
      <w:r w:rsidRPr="001223B6">
        <w:rPr>
          <w:color w:val="221E1F"/>
          <w:sz w:val="20"/>
          <w:szCs w:val="20"/>
        </w:rPr>
        <w:t xml:space="preserve">che in EN 1131 includono le obbligazioni derivanti sia da atto lecito </w:t>
      </w:r>
      <w:proofErr w:type="gramStart"/>
      <w:r w:rsidRPr="001223B6">
        <w:rPr>
          <w:color w:val="221E1F"/>
          <w:sz w:val="20"/>
          <w:szCs w:val="20"/>
        </w:rPr>
        <w:t>che</w:t>
      </w:r>
      <w:proofErr w:type="gramEnd"/>
      <w:r w:rsidRPr="001223B6">
        <w:rPr>
          <w:color w:val="221E1F"/>
          <w:sz w:val="20"/>
          <w:szCs w:val="20"/>
        </w:rPr>
        <w:t xml:space="preserve"> da atto illecito. </w:t>
      </w:r>
    </w:p>
  </w:footnote>
  <w:footnote w:id="8">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Sugli echi del discorso di </w:t>
      </w:r>
      <w:proofErr w:type="spellStart"/>
      <w:r w:rsidRPr="001223B6">
        <w:rPr>
          <w:color w:val="221E1F"/>
          <w:sz w:val="20"/>
          <w:szCs w:val="20"/>
        </w:rPr>
        <w:t>Trasimaco</w:t>
      </w:r>
      <w:proofErr w:type="spellEnd"/>
      <w:r w:rsidRPr="001223B6">
        <w:rPr>
          <w:color w:val="221E1F"/>
          <w:sz w:val="20"/>
          <w:szCs w:val="20"/>
        </w:rPr>
        <w:t xml:space="preserve"> in Aristotele si veda De Luise 2015, pp. 52 </w:t>
      </w:r>
      <w:proofErr w:type="gramStart"/>
      <w:r w:rsidRPr="001223B6">
        <w:rPr>
          <w:color w:val="221E1F"/>
          <w:sz w:val="20"/>
          <w:szCs w:val="20"/>
        </w:rPr>
        <w:t>ss.</w:t>
      </w:r>
      <w:proofErr w:type="gramEnd"/>
      <w:r w:rsidRPr="001223B6">
        <w:rPr>
          <w:color w:val="221E1F"/>
          <w:sz w:val="20"/>
          <w:szCs w:val="20"/>
        </w:rPr>
        <w:t xml:space="preserve"> </w:t>
      </w:r>
    </w:p>
  </w:footnote>
  <w:footnote w:id="9">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proofErr w:type="spellStart"/>
      <w:r w:rsidRPr="001223B6">
        <w:rPr>
          <w:color w:val="221E1F"/>
          <w:sz w:val="20"/>
          <w:szCs w:val="20"/>
        </w:rPr>
        <w:t>Vegetti</w:t>
      </w:r>
      <w:proofErr w:type="spellEnd"/>
      <w:r w:rsidRPr="001223B6">
        <w:rPr>
          <w:color w:val="221E1F"/>
          <w:sz w:val="20"/>
          <w:szCs w:val="20"/>
        </w:rPr>
        <w:t xml:space="preserve"> 2018</w:t>
      </w:r>
      <w:r w:rsidRPr="001223B6">
        <w:rPr>
          <w:color w:val="221E1F"/>
          <w:sz w:val="20"/>
          <w:szCs w:val="20"/>
          <w:vertAlign w:val="superscript"/>
        </w:rPr>
        <w:t>2</w:t>
      </w:r>
      <w:r w:rsidRPr="001223B6">
        <w:rPr>
          <w:color w:val="221E1F"/>
          <w:sz w:val="20"/>
          <w:szCs w:val="20"/>
        </w:rPr>
        <w:t xml:space="preserve">, p. 29. V. anche Gastaldi 2017. </w:t>
      </w:r>
    </w:p>
  </w:footnote>
  <w:footnote w:id="10">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proofErr w:type="spellStart"/>
      <w:r w:rsidRPr="001223B6">
        <w:rPr>
          <w:color w:val="221E1F"/>
          <w:sz w:val="20"/>
          <w:szCs w:val="20"/>
        </w:rPr>
        <w:t>Vegetti</w:t>
      </w:r>
      <w:proofErr w:type="spellEnd"/>
      <w:r w:rsidRPr="001223B6">
        <w:rPr>
          <w:color w:val="221E1F"/>
          <w:sz w:val="20"/>
          <w:szCs w:val="20"/>
        </w:rPr>
        <w:t xml:space="preserve"> 2018²</w:t>
      </w:r>
      <w:proofErr w:type="gramStart"/>
      <w:r w:rsidRPr="001223B6">
        <w:rPr>
          <w:color w:val="221E1F"/>
          <w:sz w:val="20"/>
          <w:szCs w:val="20"/>
        </w:rPr>
        <w:t xml:space="preserve"> .</w:t>
      </w:r>
      <w:proofErr w:type="gramEnd"/>
    </w:p>
  </w:footnote>
  <w:footnote w:id="11">
    <w:p w:rsidR="00016017" w:rsidRPr="001223B6" w:rsidRDefault="00016017" w:rsidP="00016017">
      <w:pPr>
        <w:pStyle w:val="Default"/>
        <w:jc w:val="both"/>
        <w:rPr>
          <w:sz w:val="20"/>
          <w:szCs w:val="20"/>
        </w:rPr>
      </w:pPr>
      <w:r w:rsidRPr="001223B6">
        <w:rPr>
          <w:rStyle w:val="Rimandonotaapidipagina"/>
          <w:sz w:val="20"/>
          <w:szCs w:val="20"/>
        </w:rPr>
        <w:footnoteRef/>
      </w:r>
      <w:r w:rsidRPr="001223B6">
        <w:rPr>
          <w:sz w:val="20"/>
          <w:szCs w:val="20"/>
        </w:rPr>
        <w:t xml:space="preserve"> </w:t>
      </w:r>
      <w:r w:rsidRPr="001223B6">
        <w:rPr>
          <w:color w:val="221E1F"/>
          <w:sz w:val="20"/>
          <w:szCs w:val="20"/>
        </w:rPr>
        <w:t xml:space="preserve">Si vedano </w:t>
      </w:r>
      <w:proofErr w:type="spellStart"/>
      <w:r w:rsidRPr="001223B6">
        <w:rPr>
          <w:color w:val="221E1F"/>
          <w:sz w:val="20"/>
          <w:szCs w:val="20"/>
        </w:rPr>
        <w:t>Vegetti</w:t>
      </w:r>
      <w:proofErr w:type="spellEnd"/>
      <w:r w:rsidRPr="001223B6">
        <w:rPr>
          <w:color w:val="221E1F"/>
          <w:sz w:val="20"/>
          <w:szCs w:val="20"/>
        </w:rPr>
        <w:t xml:space="preserve"> 2016 cap. XII, e Gastaldi 2017. </w:t>
      </w:r>
    </w:p>
  </w:footnote>
  <w:footnote w:id="12">
    <w:p w:rsidR="00016017" w:rsidRPr="001223B6" w:rsidRDefault="00016017" w:rsidP="00016017">
      <w:pPr>
        <w:pStyle w:val="Default"/>
        <w:jc w:val="both"/>
        <w:rPr>
          <w:color w:val="221E1F"/>
          <w:sz w:val="20"/>
          <w:szCs w:val="20"/>
        </w:rPr>
      </w:pPr>
      <w:r w:rsidRPr="001223B6">
        <w:rPr>
          <w:rStyle w:val="Rimandonotaapidipagina"/>
          <w:sz w:val="20"/>
          <w:szCs w:val="20"/>
        </w:rPr>
        <w:footnoteRef/>
      </w:r>
      <w:r w:rsidRPr="001223B6">
        <w:rPr>
          <w:sz w:val="20"/>
          <w:szCs w:val="20"/>
        </w:rPr>
        <w:t xml:space="preserve"> </w:t>
      </w:r>
      <w:proofErr w:type="spellStart"/>
      <w:r w:rsidRPr="001223B6">
        <w:rPr>
          <w:color w:val="221E1F"/>
          <w:sz w:val="20"/>
          <w:szCs w:val="20"/>
        </w:rPr>
        <w:t>Vegetti</w:t>
      </w:r>
      <w:proofErr w:type="spellEnd"/>
      <w:r w:rsidRPr="001223B6">
        <w:rPr>
          <w:color w:val="221E1F"/>
          <w:sz w:val="20"/>
          <w:szCs w:val="20"/>
        </w:rPr>
        <w:t xml:space="preserve"> 2018², p. 30-31, scorge una contraddizione fra il canone di giustizia come virtù, rappresentato dal </w:t>
      </w:r>
      <w:proofErr w:type="spellStart"/>
      <w:r w:rsidRPr="001223B6">
        <w:rPr>
          <w:i/>
          <w:iCs/>
          <w:color w:val="221E1F"/>
          <w:sz w:val="20"/>
          <w:szCs w:val="20"/>
        </w:rPr>
        <w:t>nomos</w:t>
      </w:r>
      <w:proofErr w:type="spellEnd"/>
      <w:r w:rsidRPr="001223B6">
        <w:rPr>
          <w:i/>
          <w:iCs/>
          <w:color w:val="221E1F"/>
          <w:sz w:val="20"/>
          <w:szCs w:val="20"/>
        </w:rPr>
        <w:t xml:space="preserve"> </w:t>
      </w:r>
      <w:r w:rsidRPr="001223B6">
        <w:rPr>
          <w:color w:val="221E1F"/>
          <w:sz w:val="20"/>
          <w:szCs w:val="20"/>
        </w:rPr>
        <w:t xml:space="preserve">in EN 1129b 14-25, e l’attribuzione a tutti i regimi costituzionali esistenti di una legislazione ingiusta. Mi sembra, però, che proprio il confronto con le due prese di posizione di </w:t>
      </w:r>
      <w:proofErr w:type="spellStart"/>
      <w:r w:rsidRPr="001223B6">
        <w:rPr>
          <w:color w:val="221E1F"/>
          <w:sz w:val="20"/>
          <w:szCs w:val="20"/>
        </w:rPr>
        <w:t>Trasimaco</w:t>
      </w:r>
      <w:proofErr w:type="spellEnd"/>
      <w:r w:rsidRPr="001223B6">
        <w:rPr>
          <w:color w:val="221E1F"/>
          <w:sz w:val="20"/>
          <w:szCs w:val="20"/>
        </w:rPr>
        <w:t xml:space="preserve"> nella Repubblica (</w:t>
      </w:r>
      <w:proofErr w:type="spellStart"/>
      <w:r w:rsidRPr="001223B6">
        <w:rPr>
          <w:i/>
          <w:iCs/>
          <w:color w:val="221E1F"/>
          <w:sz w:val="20"/>
          <w:szCs w:val="20"/>
        </w:rPr>
        <w:t>Ta</w:t>
      </w:r>
      <w:proofErr w:type="spellEnd"/>
      <w:r w:rsidRPr="001223B6">
        <w:rPr>
          <w:i/>
          <w:iCs/>
          <w:color w:val="221E1F"/>
          <w:sz w:val="20"/>
          <w:szCs w:val="20"/>
        </w:rPr>
        <w:t xml:space="preserve"> </w:t>
      </w:r>
      <w:r w:rsidRPr="001223B6">
        <w:rPr>
          <w:color w:val="221E1F"/>
          <w:sz w:val="20"/>
          <w:szCs w:val="20"/>
        </w:rPr>
        <w:t xml:space="preserve">e </w:t>
      </w:r>
      <w:proofErr w:type="spellStart"/>
      <w:r w:rsidRPr="001223B6">
        <w:rPr>
          <w:i/>
          <w:iCs/>
          <w:color w:val="221E1F"/>
          <w:sz w:val="20"/>
          <w:szCs w:val="20"/>
        </w:rPr>
        <w:t>Tb</w:t>
      </w:r>
      <w:proofErr w:type="spellEnd"/>
      <w:r w:rsidRPr="001223B6">
        <w:rPr>
          <w:color w:val="221E1F"/>
          <w:sz w:val="20"/>
          <w:szCs w:val="20"/>
        </w:rPr>
        <w:t>) consenta di comprendere che le leggi qualificate “ingiuste” nella Politica non riguardano il comportamento quotidiano del cittadino nei suoi rapporti con i concittadini e con la città, ma riguardano le strutture costituzionali (ho tentato di dimostrare quest’opinione in Maffi 2018</w:t>
      </w:r>
      <w:proofErr w:type="gramStart"/>
      <w:r w:rsidRPr="001223B6">
        <w:rPr>
          <w:color w:val="221E1F"/>
          <w:sz w:val="20"/>
          <w:szCs w:val="20"/>
        </w:rPr>
        <w:t>)</w:t>
      </w:r>
      <w:proofErr w:type="gramEnd"/>
      <w:r w:rsidRPr="001223B6">
        <w:rPr>
          <w:color w:val="221E1F"/>
          <w:sz w:val="20"/>
          <w:szCs w:val="20"/>
        </w:rPr>
        <w:t xml:space="preserve"> </w:t>
      </w:r>
    </w:p>
    <w:p w:rsidR="00016017" w:rsidRPr="001223B6" w:rsidRDefault="00016017" w:rsidP="00016017">
      <w:pPr>
        <w:pStyle w:val="Testonotaapidipagina"/>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17"/>
    <w:rsid w:val="00016017"/>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01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5">
    <w:name w:val="A5"/>
    <w:uiPriority w:val="99"/>
    <w:rsid w:val="00016017"/>
    <w:rPr>
      <w:rFonts w:cs="HelveticaNeueLT Std Lt"/>
      <w:color w:val="221E1F"/>
      <w:sz w:val="18"/>
      <w:szCs w:val="18"/>
    </w:rPr>
  </w:style>
  <w:style w:type="paragraph" w:customStyle="1" w:styleId="Pa20">
    <w:name w:val="Pa20"/>
    <w:basedOn w:val="Normale"/>
    <w:next w:val="Normale"/>
    <w:uiPriority w:val="99"/>
    <w:rsid w:val="00016017"/>
    <w:pPr>
      <w:widowControl w:val="0"/>
      <w:autoSpaceDE w:val="0"/>
      <w:autoSpaceDN w:val="0"/>
      <w:adjustRightInd w:val="0"/>
      <w:spacing w:line="221" w:lineRule="atLeast"/>
    </w:pPr>
    <w:rPr>
      <w:rFonts w:ascii="HelveticaNeueLT Std Lt" w:hAnsi="HelveticaNeueLT Std Lt"/>
      <w:lang w:eastAsia="ja-JP"/>
    </w:rPr>
  </w:style>
  <w:style w:type="paragraph" w:customStyle="1" w:styleId="Default">
    <w:name w:val="Default"/>
    <w:rsid w:val="00016017"/>
    <w:pPr>
      <w:widowControl w:val="0"/>
      <w:autoSpaceDE w:val="0"/>
      <w:autoSpaceDN w:val="0"/>
      <w:adjustRightInd w:val="0"/>
    </w:pPr>
    <w:rPr>
      <w:rFonts w:ascii="HelveticaNeueLT Std Lt" w:hAnsi="HelveticaNeueLT Std Lt" w:cs="HelveticaNeueLT Std Lt"/>
      <w:color w:val="000000"/>
      <w:sz w:val="24"/>
      <w:szCs w:val="24"/>
    </w:rPr>
  </w:style>
  <w:style w:type="paragraph" w:styleId="Testonotaapidipagina">
    <w:name w:val="footnote text"/>
    <w:basedOn w:val="Normale"/>
    <w:link w:val="TestonotaapidipaginaCarattere"/>
    <w:uiPriority w:val="99"/>
    <w:unhideWhenUsed/>
    <w:rsid w:val="00016017"/>
  </w:style>
  <w:style w:type="character" w:customStyle="1" w:styleId="TestonotaapidipaginaCarattere">
    <w:name w:val="Testo nota a piè di pagina Carattere"/>
    <w:basedOn w:val="Caratterepredefinitoparagrafo"/>
    <w:link w:val="Testonotaapidipagina"/>
    <w:uiPriority w:val="99"/>
    <w:rsid w:val="00016017"/>
    <w:rPr>
      <w:sz w:val="24"/>
      <w:szCs w:val="24"/>
      <w:lang w:eastAsia="it-IT"/>
    </w:rPr>
  </w:style>
  <w:style w:type="character" w:styleId="Rimandonotaapidipagina">
    <w:name w:val="footnote reference"/>
    <w:basedOn w:val="Caratterepredefinitoparagrafo"/>
    <w:uiPriority w:val="99"/>
    <w:unhideWhenUsed/>
    <w:rsid w:val="00016017"/>
    <w:rPr>
      <w:vertAlign w:val="superscript"/>
    </w:rPr>
  </w:style>
  <w:style w:type="paragraph" w:styleId="NormaleWeb">
    <w:name w:val="Normal (Web)"/>
    <w:basedOn w:val="Normale"/>
    <w:uiPriority w:val="99"/>
    <w:semiHidden/>
    <w:unhideWhenUsed/>
    <w:rsid w:val="00016017"/>
    <w:pPr>
      <w:spacing w:before="100" w:beforeAutospacing="1" w:after="119"/>
    </w:pPr>
    <w:rPr>
      <w:rFonts w:ascii="Times" w:hAnsi="Times"/>
      <w:sz w:val="20"/>
      <w:szCs w:val="20"/>
    </w:rPr>
  </w:style>
  <w:style w:type="paragraph" w:customStyle="1" w:styleId="Pa29">
    <w:name w:val="Pa29"/>
    <w:basedOn w:val="Default"/>
    <w:next w:val="Default"/>
    <w:uiPriority w:val="99"/>
    <w:rsid w:val="00016017"/>
    <w:pPr>
      <w:spacing w:line="221" w:lineRule="atLeast"/>
    </w:pPr>
    <w:rPr>
      <w:rFonts w:ascii="HelveticaNeueLT Std" w:hAnsi="HelveticaNeueLT Std" w:cs="Times New Roman"/>
      <w:color w:val="auto"/>
    </w:rPr>
  </w:style>
  <w:style w:type="character" w:customStyle="1" w:styleId="A15">
    <w:name w:val="A15"/>
    <w:uiPriority w:val="99"/>
    <w:rsid w:val="00016017"/>
    <w:rPr>
      <w:rFonts w:cs="HelveticaNeueLT Std"/>
      <w:color w:val="221E1F"/>
      <w:sz w:val="14"/>
      <w:szCs w:val="14"/>
    </w:rPr>
  </w:style>
  <w:style w:type="paragraph" w:customStyle="1" w:styleId="Pa23">
    <w:name w:val="Pa23"/>
    <w:basedOn w:val="Default"/>
    <w:next w:val="Default"/>
    <w:uiPriority w:val="99"/>
    <w:rsid w:val="00016017"/>
    <w:pPr>
      <w:spacing w:line="221" w:lineRule="atLeast"/>
    </w:pPr>
    <w:rPr>
      <w:rFonts w:ascii="HelveticaNeueLT Std" w:hAnsi="HelveticaNeueLT Std"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01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5">
    <w:name w:val="A5"/>
    <w:uiPriority w:val="99"/>
    <w:rsid w:val="00016017"/>
    <w:rPr>
      <w:rFonts w:cs="HelveticaNeueLT Std Lt"/>
      <w:color w:val="221E1F"/>
      <w:sz w:val="18"/>
      <w:szCs w:val="18"/>
    </w:rPr>
  </w:style>
  <w:style w:type="paragraph" w:customStyle="1" w:styleId="Pa20">
    <w:name w:val="Pa20"/>
    <w:basedOn w:val="Normale"/>
    <w:next w:val="Normale"/>
    <w:uiPriority w:val="99"/>
    <w:rsid w:val="00016017"/>
    <w:pPr>
      <w:widowControl w:val="0"/>
      <w:autoSpaceDE w:val="0"/>
      <w:autoSpaceDN w:val="0"/>
      <w:adjustRightInd w:val="0"/>
      <w:spacing w:line="221" w:lineRule="atLeast"/>
    </w:pPr>
    <w:rPr>
      <w:rFonts w:ascii="HelveticaNeueLT Std Lt" w:hAnsi="HelveticaNeueLT Std Lt"/>
      <w:lang w:eastAsia="ja-JP"/>
    </w:rPr>
  </w:style>
  <w:style w:type="paragraph" w:customStyle="1" w:styleId="Default">
    <w:name w:val="Default"/>
    <w:rsid w:val="00016017"/>
    <w:pPr>
      <w:widowControl w:val="0"/>
      <w:autoSpaceDE w:val="0"/>
      <w:autoSpaceDN w:val="0"/>
      <w:adjustRightInd w:val="0"/>
    </w:pPr>
    <w:rPr>
      <w:rFonts w:ascii="HelveticaNeueLT Std Lt" w:hAnsi="HelveticaNeueLT Std Lt" w:cs="HelveticaNeueLT Std Lt"/>
      <w:color w:val="000000"/>
      <w:sz w:val="24"/>
      <w:szCs w:val="24"/>
    </w:rPr>
  </w:style>
  <w:style w:type="paragraph" w:styleId="Testonotaapidipagina">
    <w:name w:val="footnote text"/>
    <w:basedOn w:val="Normale"/>
    <w:link w:val="TestonotaapidipaginaCarattere"/>
    <w:uiPriority w:val="99"/>
    <w:unhideWhenUsed/>
    <w:rsid w:val="00016017"/>
  </w:style>
  <w:style w:type="character" w:customStyle="1" w:styleId="TestonotaapidipaginaCarattere">
    <w:name w:val="Testo nota a piè di pagina Carattere"/>
    <w:basedOn w:val="Caratterepredefinitoparagrafo"/>
    <w:link w:val="Testonotaapidipagina"/>
    <w:uiPriority w:val="99"/>
    <w:rsid w:val="00016017"/>
    <w:rPr>
      <w:sz w:val="24"/>
      <w:szCs w:val="24"/>
      <w:lang w:eastAsia="it-IT"/>
    </w:rPr>
  </w:style>
  <w:style w:type="character" w:styleId="Rimandonotaapidipagina">
    <w:name w:val="footnote reference"/>
    <w:basedOn w:val="Caratterepredefinitoparagrafo"/>
    <w:uiPriority w:val="99"/>
    <w:unhideWhenUsed/>
    <w:rsid w:val="00016017"/>
    <w:rPr>
      <w:vertAlign w:val="superscript"/>
    </w:rPr>
  </w:style>
  <w:style w:type="paragraph" w:styleId="NormaleWeb">
    <w:name w:val="Normal (Web)"/>
    <w:basedOn w:val="Normale"/>
    <w:uiPriority w:val="99"/>
    <w:semiHidden/>
    <w:unhideWhenUsed/>
    <w:rsid w:val="00016017"/>
    <w:pPr>
      <w:spacing w:before="100" w:beforeAutospacing="1" w:after="119"/>
    </w:pPr>
    <w:rPr>
      <w:rFonts w:ascii="Times" w:hAnsi="Times"/>
      <w:sz w:val="20"/>
      <w:szCs w:val="20"/>
    </w:rPr>
  </w:style>
  <w:style w:type="paragraph" w:customStyle="1" w:styleId="Pa29">
    <w:name w:val="Pa29"/>
    <w:basedOn w:val="Default"/>
    <w:next w:val="Default"/>
    <w:uiPriority w:val="99"/>
    <w:rsid w:val="00016017"/>
    <w:pPr>
      <w:spacing w:line="221" w:lineRule="atLeast"/>
    </w:pPr>
    <w:rPr>
      <w:rFonts w:ascii="HelveticaNeueLT Std" w:hAnsi="HelveticaNeueLT Std" w:cs="Times New Roman"/>
      <w:color w:val="auto"/>
    </w:rPr>
  </w:style>
  <w:style w:type="character" w:customStyle="1" w:styleId="A15">
    <w:name w:val="A15"/>
    <w:uiPriority w:val="99"/>
    <w:rsid w:val="00016017"/>
    <w:rPr>
      <w:rFonts w:cs="HelveticaNeueLT Std"/>
      <w:color w:val="221E1F"/>
      <w:sz w:val="14"/>
      <w:szCs w:val="14"/>
    </w:rPr>
  </w:style>
  <w:style w:type="paragraph" w:customStyle="1" w:styleId="Pa23">
    <w:name w:val="Pa23"/>
    <w:basedOn w:val="Default"/>
    <w:next w:val="Default"/>
    <w:uiPriority w:val="99"/>
    <w:rsid w:val="00016017"/>
    <w:pPr>
      <w:spacing w:line="221" w:lineRule="atLeast"/>
    </w:pPr>
    <w:rPr>
      <w:rFonts w:ascii="HelveticaNeueLT Std"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2476</Words>
  <Characters>14115</Characters>
  <Application>Microsoft Macintosh Word</Application>
  <DocSecurity>0</DocSecurity>
  <Lines>117</Lines>
  <Paragraphs>33</Paragraphs>
  <ScaleCrop>false</ScaleCrop>
  <Company>獫票楧栮捯洀鉭曮㞱Û뜰⠲쎔딁烊皭〼፥ᙼ䕸忤઱</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cp:lastPrinted>2019-04-10T06:17:00Z</cp:lastPrinted>
  <dcterms:created xsi:type="dcterms:W3CDTF">2019-04-10T06:07:00Z</dcterms:created>
  <dcterms:modified xsi:type="dcterms:W3CDTF">2019-04-10T06:18:00Z</dcterms:modified>
</cp:coreProperties>
</file>